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FF8C5" w14:textId="243A875E" w:rsidR="00654955" w:rsidRPr="00911163" w:rsidRDefault="006C529F" w:rsidP="006C52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ourier New" w:hAnsi="Courier New"/>
        </w:rPr>
      </w:pPr>
      <w:r>
        <w:rPr>
          <w:noProof/>
        </w:rPr>
        <w:drawing>
          <wp:inline distT="0" distB="0" distL="0" distR="0" wp14:anchorId="28845A03" wp14:editId="787DF2F0">
            <wp:extent cx="798340" cy="885140"/>
            <wp:effectExtent l="0" t="0" r="190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981" cy="93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675A09" w14:textId="77777777" w:rsidR="00654955" w:rsidRPr="00911163" w:rsidRDefault="00654955" w:rsidP="006C52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Monotype Corsiva" w:hAnsi="Monotype Corsiva"/>
          <w:b/>
          <w:sz w:val="56"/>
        </w:rPr>
      </w:pPr>
      <w:r w:rsidRPr="00911163">
        <w:rPr>
          <w:rFonts w:ascii="Monotype Corsiva" w:hAnsi="Monotype Corsiva"/>
          <w:b/>
          <w:sz w:val="56"/>
        </w:rPr>
        <w:t>Ministero della Giustizia</w:t>
      </w:r>
    </w:p>
    <w:p w14:paraId="1E72B353" w14:textId="77777777" w:rsidR="004922A3" w:rsidRDefault="004922A3" w:rsidP="00492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Monotype Corsiva" w:hAnsi="Monotype Corsiva"/>
          <w:sz w:val="32"/>
        </w:rPr>
      </w:pPr>
    </w:p>
    <w:p w14:paraId="71D4FECC" w14:textId="77777777" w:rsidR="006C529F" w:rsidRDefault="006C529F" w:rsidP="00492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Monotype Corsiva" w:hAnsi="Monotype Corsiva"/>
          <w:sz w:val="32"/>
        </w:rPr>
      </w:pPr>
    </w:p>
    <w:p w14:paraId="31AEE68D" w14:textId="15AC4322" w:rsidR="00EF41E1" w:rsidRPr="006A624E" w:rsidRDefault="00E70F4D" w:rsidP="006A62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it-IT"/>
        </w:rPr>
        <w:t>Ipotesi di accordo</w:t>
      </w:r>
    </w:p>
    <w:p w14:paraId="3A1E9914" w14:textId="0A1D6B77" w:rsidR="006A624E" w:rsidRPr="00E70F4D" w:rsidRDefault="00851930" w:rsidP="00E70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t</w:t>
      </w:r>
      <w:r w:rsidR="00E70F4D">
        <w:rPr>
          <w:rFonts w:ascii="Times New Roman" w:eastAsia="Times New Roman" w:hAnsi="Times New Roman" w:cs="Times New Roman"/>
          <w:sz w:val="24"/>
          <w:szCs w:val="24"/>
          <w:lang w:eastAsia="it-IT"/>
        </w:rPr>
        <w:t>ra i</w:t>
      </w:r>
      <w:r w:rsidR="006A624E">
        <w:rPr>
          <w:rFonts w:ascii="Times New Roman" w:eastAsia="Times New Roman" w:hAnsi="Times New Roman" w:cs="Times New Roman"/>
          <w:sz w:val="24"/>
          <w:szCs w:val="24"/>
          <w:lang w:eastAsia="it-IT"/>
        </w:rPr>
        <w:t>l Ministero della Giustizia</w:t>
      </w:r>
      <w:r w:rsidR="00E70F4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</w:t>
      </w:r>
      <w:r w:rsidR="006A624E">
        <w:rPr>
          <w:rFonts w:ascii="Times New Roman" w:eastAsia="Times New Roman" w:hAnsi="Times New Roman" w:cs="Times New Roman"/>
          <w:sz w:val="24"/>
          <w:szCs w:val="24"/>
          <w:lang w:eastAsia="it-IT"/>
        </w:rPr>
        <w:t>le Organizzazioni sindacali</w:t>
      </w:r>
      <w:r w:rsidR="00E70F4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6A624E" w:rsidRPr="00E70F4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sulle modalità e i criteri di ripartizione del fondo di cui all’art. 113 del d. lgs. 50/2016 e ss. </w:t>
      </w:r>
      <w:r w:rsidR="00E70F4D" w:rsidRPr="00E70F4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mm</w:t>
      </w:r>
      <w:r w:rsidR="006A624E" w:rsidRPr="00E70F4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. ii.</w:t>
      </w:r>
      <w:r w:rsidR="00927C64" w:rsidRPr="00E70F4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</w:t>
      </w:r>
      <w:r w:rsidR="00E70F4D" w:rsidRPr="00E70F4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e</w:t>
      </w:r>
      <w:r w:rsidR="00927C64" w:rsidRPr="00E70F4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del D.M. Giustizia 4 agosto 2021</w:t>
      </w:r>
      <w:r w:rsidR="00E70F4D" w:rsidRPr="00E70F4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, n. 124.</w:t>
      </w:r>
    </w:p>
    <w:p w14:paraId="0965D51E" w14:textId="77777777" w:rsidR="004B59F4" w:rsidRDefault="004B59F4" w:rsidP="007247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it-IT"/>
        </w:rPr>
      </w:pPr>
    </w:p>
    <w:p w14:paraId="3090D37B" w14:textId="7B1217FB" w:rsidR="00724739" w:rsidRPr="004B59F4" w:rsidRDefault="004B59F4" w:rsidP="007247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9F4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 w:rsidR="00724739" w:rsidRPr="004B59F4">
        <w:rPr>
          <w:rFonts w:ascii="Times New Roman" w:eastAsia="Times New Roman" w:hAnsi="Times New Roman" w:cs="Times New Roman"/>
          <w:sz w:val="24"/>
          <w:szCs w:val="24"/>
          <w:lang w:eastAsia="it-IT"/>
        </w:rPr>
        <w:t>l fine di dare attuazione all’articolo 113, del decreto legislativo 18 aprile 2016, n.50 (recante “</w:t>
      </w:r>
      <w:r w:rsidR="00724739" w:rsidRPr="004B59F4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Codice dei contratti pubblici</w:t>
      </w:r>
      <w:r w:rsidR="00724739" w:rsidRPr="004B59F4">
        <w:rPr>
          <w:rFonts w:ascii="Times New Roman" w:eastAsia="Times New Roman" w:hAnsi="Times New Roman" w:cs="Times New Roman"/>
          <w:sz w:val="24"/>
          <w:szCs w:val="24"/>
          <w:lang w:eastAsia="it-IT"/>
        </w:rPr>
        <w:t>”) e al D.M. 4 agosto 2021, n. 124 (Regolamento recante “</w:t>
      </w:r>
      <w:r w:rsidR="00724739" w:rsidRPr="004B59F4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Norme per la ripartizione degli </w:t>
      </w:r>
      <w:r w:rsidR="00724739" w:rsidRPr="004B59F4">
        <w:rPr>
          <w:rFonts w:ascii="Times New Roman" w:hAnsi="Times New Roman" w:cs="Times New Roman"/>
          <w:i/>
          <w:iCs/>
          <w:sz w:val="24"/>
          <w:szCs w:val="24"/>
        </w:rPr>
        <w:t>incentivi per funzioni tecniche al personale non dirigente del Ministero della giustizia, a norma del decreto legislativo 18 aprile 2016, n. 50</w:t>
      </w:r>
      <w:r w:rsidR="00724739" w:rsidRPr="004B59F4">
        <w:rPr>
          <w:rFonts w:ascii="Times New Roman" w:hAnsi="Times New Roman" w:cs="Times New Roman"/>
          <w:sz w:val="24"/>
          <w:szCs w:val="24"/>
        </w:rPr>
        <w:t>”),  le Parti sottoscrivono il presente Accordo, finalizzato alla corresponsione di un incentivo in favore dei dipendenti che svolgono le attività di natura tecnica, specificate nelle disposizioni di legge e regolamentari citate, nell’ambito degli appalti per lavori, servizi, forniture e contratti misti.</w:t>
      </w:r>
    </w:p>
    <w:p w14:paraId="3F0DE722" w14:textId="7E0AD710" w:rsidR="00724739" w:rsidRPr="00D443F3" w:rsidRDefault="00724739" w:rsidP="007247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9F4">
        <w:rPr>
          <w:rFonts w:ascii="Times New Roman" w:hAnsi="Times New Roman" w:cs="Times New Roman"/>
          <w:sz w:val="24"/>
          <w:szCs w:val="24"/>
        </w:rPr>
        <w:t>L’Accordo definisce le percentuali degli incentivi effettivamente attribuibili al personale, nel rispetto dei valori già determinati nell’articolo 6 del Regolamento.</w:t>
      </w:r>
    </w:p>
    <w:p w14:paraId="1368C7D7" w14:textId="77777777" w:rsidR="00724739" w:rsidRDefault="00724739" w:rsidP="007247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609BAEE" w14:textId="77777777" w:rsidR="00D0346B" w:rsidRDefault="00D0346B" w:rsidP="00EF00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6B37FF59" w14:textId="7C5E1360" w:rsidR="00D0346B" w:rsidRDefault="00503CCB" w:rsidP="00503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Art. 1</w:t>
      </w:r>
    </w:p>
    <w:p w14:paraId="3AF2DB0F" w14:textId="2E9436FE" w:rsidR="00503CCB" w:rsidRDefault="00503CCB" w:rsidP="00503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Ambito di applicazione</w:t>
      </w:r>
    </w:p>
    <w:p w14:paraId="4914CFFB" w14:textId="77777777" w:rsidR="00503CCB" w:rsidRDefault="00503CCB" w:rsidP="00503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7A4B8C08" w14:textId="77777777" w:rsidR="00503CCB" w:rsidRPr="004B59F4" w:rsidRDefault="00503CCB" w:rsidP="00503CCB">
      <w:pPr>
        <w:pStyle w:val="Paragrafoelenco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9F4">
        <w:rPr>
          <w:rFonts w:ascii="Times New Roman" w:hAnsi="Times New Roman" w:cs="Times New Roman"/>
          <w:sz w:val="24"/>
          <w:szCs w:val="24"/>
        </w:rPr>
        <w:t xml:space="preserve">Il Ministero della giustizia, all’interno del quadro economico di ogni appalto riferito a opere, lavori, servizi e forniture, prevede una quota sull’importo posto a base di gara per la costituzione di apposito fondo. </w:t>
      </w:r>
    </w:p>
    <w:p w14:paraId="3F481747" w14:textId="6DA50AE6" w:rsidR="00503CCB" w:rsidRPr="004B59F4" w:rsidRDefault="00503CCB" w:rsidP="00503CCB">
      <w:pPr>
        <w:pStyle w:val="Paragrafoelenco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9F4">
        <w:rPr>
          <w:rFonts w:ascii="Times New Roman" w:hAnsi="Times New Roman" w:cs="Times New Roman"/>
          <w:sz w:val="24"/>
          <w:szCs w:val="24"/>
        </w:rPr>
        <w:t>Il valore del fondo viene determinato nella misura indicata all’</w:t>
      </w:r>
      <w:r w:rsidR="00E70F4D">
        <w:rPr>
          <w:rFonts w:ascii="Times New Roman" w:hAnsi="Times New Roman" w:cs="Times New Roman"/>
          <w:sz w:val="24"/>
          <w:szCs w:val="24"/>
        </w:rPr>
        <w:t>a</w:t>
      </w:r>
      <w:r w:rsidRPr="004B59F4">
        <w:rPr>
          <w:rFonts w:ascii="Times New Roman" w:hAnsi="Times New Roman" w:cs="Times New Roman"/>
          <w:sz w:val="24"/>
          <w:szCs w:val="24"/>
        </w:rPr>
        <w:t>rt. 5</w:t>
      </w:r>
      <w:r w:rsidR="00E70F4D">
        <w:rPr>
          <w:rFonts w:ascii="Times New Roman" w:hAnsi="Times New Roman" w:cs="Times New Roman"/>
          <w:sz w:val="24"/>
          <w:szCs w:val="24"/>
        </w:rPr>
        <w:t>,</w:t>
      </w:r>
      <w:r w:rsidRPr="004B59F4">
        <w:rPr>
          <w:rFonts w:ascii="Times New Roman" w:hAnsi="Times New Roman" w:cs="Times New Roman"/>
          <w:sz w:val="24"/>
          <w:szCs w:val="24"/>
        </w:rPr>
        <w:t xml:space="preserve"> comma 1 del </w:t>
      </w:r>
      <w:r w:rsidR="00E70F4D">
        <w:rPr>
          <w:rFonts w:ascii="Times New Roman" w:hAnsi="Times New Roman" w:cs="Times New Roman"/>
          <w:sz w:val="24"/>
          <w:szCs w:val="24"/>
        </w:rPr>
        <w:t>D.M. 4 agosto 2021, n. 124 (d’ora in poi, “</w:t>
      </w:r>
      <w:r w:rsidRPr="004B59F4">
        <w:rPr>
          <w:rFonts w:ascii="Times New Roman" w:hAnsi="Times New Roman" w:cs="Times New Roman"/>
          <w:sz w:val="24"/>
          <w:szCs w:val="24"/>
        </w:rPr>
        <w:t>Regolamento</w:t>
      </w:r>
      <w:r w:rsidR="00E70F4D">
        <w:rPr>
          <w:rFonts w:ascii="Times New Roman" w:hAnsi="Times New Roman" w:cs="Times New Roman"/>
          <w:sz w:val="24"/>
          <w:szCs w:val="24"/>
        </w:rPr>
        <w:t>”)</w:t>
      </w:r>
      <w:r w:rsidRPr="004B59F4">
        <w:rPr>
          <w:rFonts w:ascii="Times New Roman" w:hAnsi="Times New Roman" w:cs="Times New Roman"/>
          <w:sz w:val="24"/>
          <w:szCs w:val="24"/>
        </w:rPr>
        <w:t xml:space="preserve"> per quanto riguarda </w:t>
      </w:r>
      <w:r w:rsidRPr="004B59F4">
        <w:rPr>
          <w:rFonts w:ascii="Times New Roman" w:hAnsi="Times New Roman" w:cs="Times New Roman"/>
          <w:b/>
          <w:bCs/>
          <w:sz w:val="24"/>
          <w:szCs w:val="24"/>
        </w:rPr>
        <w:t>i Lavori</w:t>
      </w:r>
      <w:r>
        <w:rPr>
          <w:rFonts w:ascii="Times New Roman" w:hAnsi="Times New Roman" w:cs="Times New Roman"/>
          <w:sz w:val="24"/>
          <w:szCs w:val="24"/>
        </w:rPr>
        <w:t xml:space="preserve">, ivi comprese le attività di manutenzione ordinaria e straordinaria di cui all’art. 3, comma 2, lett. </w:t>
      </w:r>
      <w:proofErr w:type="spellStart"/>
      <w:r w:rsidRPr="00943661">
        <w:rPr>
          <w:rFonts w:ascii="Times New Roman" w:hAnsi="Times New Roman" w:cs="Times New Roman"/>
          <w:i/>
          <w:iCs/>
          <w:sz w:val="24"/>
          <w:szCs w:val="24"/>
        </w:rPr>
        <w:t>nn</w:t>
      </w:r>
      <w:proofErr w:type="spellEnd"/>
      <w:r>
        <w:rPr>
          <w:rFonts w:ascii="Times New Roman" w:hAnsi="Times New Roman" w:cs="Times New Roman"/>
          <w:sz w:val="24"/>
          <w:szCs w:val="24"/>
        </w:rPr>
        <w:t>) e all’Allegato 1 del D. Lgs. 50/2016</w:t>
      </w:r>
      <w:r w:rsidR="00E70F4D">
        <w:rPr>
          <w:rFonts w:ascii="Times New Roman" w:hAnsi="Times New Roman" w:cs="Times New Roman"/>
          <w:sz w:val="24"/>
          <w:szCs w:val="24"/>
        </w:rPr>
        <w:t>.</w:t>
      </w:r>
    </w:p>
    <w:p w14:paraId="4BB1C8BF" w14:textId="7A2E9440" w:rsidR="00503CCB" w:rsidRPr="004B59F4" w:rsidRDefault="00503CCB" w:rsidP="00503CCB">
      <w:pPr>
        <w:pStyle w:val="Paragrafoelenco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9F4">
        <w:rPr>
          <w:rFonts w:ascii="Times New Roman" w:hAnsi="Times New Roman" w:cs="Times New Roman"/>
          <w:sz w:val="24"/>
          <w:szCs w:val="24"/>
        </w:rPr>
        <w:t>Il valore del fondo viene determinato nella misura indicata all’</w:t>
      </w:r>
      <w:r w:rsidR="00851930">
        <w:rPr>
          <w:rFonts w:ascii="Times New Roman" w:hAnsi="Times New Roman" w:cs="Times New Roman"/>
          <w:sz w:val="24"/>
          <w:szCs w:val="24"/>
        </w:rPr>
        <w:t>a</w:t>
      </w:r>
      <w:r w:rsidRPr="004B59F4">
        <w:rPr>
          <w:rFonts w:ascii="Times New Roman" w:hAnsi="Times New Roman" w:cs="Times New Roman"/>
          <w:sz w:val="24"/>
          <w:szCs w:val="24"/>
        </w:rPr>
        <w:t xml:space="preserve">rt. </w:t>
      </w:r>
      <w:r w:rsidR="00851930">
        <w:rPr>
          <w:rFonts w:ascii="Times New Roman" w:hAnsi="Times New Roman" w:cs="Times New Roman"/>
          <w:sz w:val="24"/>
          <w:szCs w:val="24"/>
        </w:rPr>
        <w:t>6</w:t>
      </w:r>
      <w:r w:rsidRPr="004B59F4">
        <w:rPr>
          <w:rFonts w:ascii="Times New Roman" w:hAnsi="Times New Roman" w:cs="Times New Roman"/>
          <w:sz w:val="24"/>
          <w:szCs w:val="24"/>
        </w:rPr>
        <w:t xml:space="preserve"> comma 2 del Regolamento per quanto riguarda i </w:t>
      </w:r>
      <w:r w:rsidRPr="004B59F4">
        <w:rPr>
          <w:rFonts w:ascii="Times New Roman" w:hAnsi="Times New Roman" w:cs="Times New Roman"/>
          <w:b/>
          <w:bCs/>
          <w:sz w:val="24"/>
          <w:szCs w:val="24"/>
        </w:rPr>
        <w:t>Servizi e Forniture</w:t>
      </w:r>
      <w:r w:rsidR="00E70F4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E6F2BF0" w14:textId="079379B8" w:rsidR="00503CCB" w:rsidRPr="004B59F4" w:rsidRDefault="00503CCB" w:rsidP="00503CCB">
      <w:pPr>
        <w:pStyle w:val="Paragrafoelenco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9F4">
        <w:rPr>
          <w:rFonts w:ascii="Times New Roman" w:hAnsi="Times New Roman" w:cs="Times New Roman"/>
          <w:sz w:val="24"/>
          <w:szCs w:val="24"/>
        </w:rPr>
        <w:t>Degli importi del fondo di cui ai precedenti comm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4B59F4">
        <w:rPr>
          <w:rFonts w:ascii="Times New Roman" w:hAnsi="Times New Roman" w:cs="Times New Roman"/>
          <w:sz w:val="24"/>
          <w:szCs w:val="24"/>
        </w:rPr>
        <w:t xml:space="preserve"> la quota dell’80% (nel seguito “Fondo incentivante”), è destinata ad incentivare il personale interno che svolge le funzioni tecniche previste dall'art. 113, comma 2, del decreto legislativo n. 50/2016</w:t>
      </w:r>
      <w:r w:rsidR="00E70F4D">
        <w:rPr>
          <w:rFonts w:ascii="Times New Roman" w:hAnsi="Times New Roman" w:cs="Times New Roman"/>
          <w:sz w:val="24"/>
          <w:szCs w:val="24"/>
        </w:rPr>
        <w:t>.</w:t>
      </w:r>
    </w:p>
    <w:p w14:paraId="09F58D41" w14:textId="77777777" w:rsidR="00503CCB" w:rsidRPr="004B59F4" w:rsidRDefault="00503CCB" w:rsidP="00503CCB">
      <w:pPr>
        <w:pStyle w:val="Paragrafoelenco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9F4">
        <w:rPr>
          <w:rFonts w:ascii="Times New Roman" w:hAnsi="Times New Roman" w:cs="Times New Roman"/>
          <w:sz w:val="24"/>
          <w:szCs w:val="24"/>
        </w:rPr>
        <w:t>Le risorse del fondo fanno capo al medesimo capitolo di spesa previsto per i singoli lavori, servizi e forniture.</w:t>
      </w:r>
    </w:p>
    <w:p w14:paraId="2C389BDB" w14:textId="77777777" w:rsidR="00503CCB" w:rsidRPr="004B59F4" w:rsidRDefault="00503CCB" w:rsidP="00503CCB">
      <w:pPr>
        <w:pStyle w:val="Paragrafoelenco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9F4">
        <w:rPr>
          <w:rFonts w:ascii="Times New Roman" w:hAnsi="Times New Roman" w:cs="Times New Roman"/>
          <w:sz w:val="24"/>
          <w:szCs w:val="24"/>
        </w:rPr>
        <w:t xml:space="preserve">Sono escluse dalla base di calcolo del fondo le somme per accantonamenti, imprevisti, acquisizioni ed espropri di immobili, nonché l’IVA. </w:t>
      </w:r>
    </w:p>
    <w:p w14:paraId="12BFDE9A" w14:textId="77777777" w:rsidR="00503CCB" w:rsidRPr="004B59F4" w:rsidRDefault="00503CCB" w:rsidP="00503CCB">
      <w:pPr>
        <w:pStyle w:val="Paragrafoelenco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9F4">
        <w:rPr>
          <w:rFonts w:ascii="Times New Roman" w:hAnsi="Times New Roman" w:cs="Times New Roman"/>
          <w:sz w:val="24"/>
          <w:szCs w:val="24"/>
        </w:rPr>
        <w:t xml:space="preserve">Gli importi sono comprensivi anche degli oneri previdenziali e assistenziali a carico dell’Amministrazione. </w:t>
      </w:r>
    </w:p>
    <w:p w14:paraId="1FE3B3FA" w14:textId="77777777" w:rsidR="00503CCB" w:rsidRDefault="00503CCB" w:rsidP="00503CCB">
      <w:pPr>
        <w:pStyle w:val="Paragrafoelenco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9F4">
        <w:rPr>
          <w:rFonts w:ascii="Times New Roman" w:hAnsi="Times New Roman" w:cs="Times New Roman"/>
          <w:sz w:val="24"/>
          <w:szCs w:val="24"/>
        </w:rPr>
        <w:t>Le spese di trasferta o missione non sono a carico del fondo.</w:t>
      </w:r>
    </w:p>
    <w:p w14:paraId="4F0D6783" w14:textId="26978B61" w:rsidR="00503CCB" w:rsidRPr="00503CCB" w:rsidRDefault="00503CCB" w:rsidP="00503CCB">
      <w:pPr>
        <w:pStyle w:val="Paragrafoelenco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CCB">
        <w:rPr>
          <w:rFonts w:ascii="Times New Roman" w:hAnsi="Times New Roman" w:cs="Times New Roman"/>
          <w:sz w:val="24"/>
          <w:szCs w:val="24"/>
        </w:rPr>
        <w:t xml:space="preserve">L’80 per cento delle risorse finanziarie del Fondo è ripartito tra il personale del Ministero della giustizia che, </w:t>
      </w:r>
      <w:proofErr w:type="gramStart"/>
      <w:r w:rsidRPr="00503CCB">
        <w:rPr>
          <w:rFonts w:ascii="Times New Roman" w:hAnsi="Times New Roman" w:cs="Times New Roman"/>
          <w:sz w:val="24"/>
          <w:szCs w:val="24"/>
        </w:rPr>
        <w:t>per  ciascuna</w:t>
      </w:r>
      <w:proofErr w:type="gramEnd"/>
      <w:r w:rsidRPr="00503CCB">
        <w:rPr>
          <w:rFonts w:ascii="Times New Roman" w:hAnsi="Times New Roman" w:cs="Times New Roman"/>
          <w:sz w:val="24"/>
          <w:szCs w:val="24"/>
        </w:rPr>
        <w:t xml:space="preserve"> opera  o  lavoro,  servizio  o  fornitura,  </w:t>
      </w:r>
      <w:r w:rsidR="00E70F4D">
        <w:rPr>
          <w:rFonts w:ascii="Times New Roman" w:hAnsi="Times New Roman" w:cs="Times New Roman"/>
          <w:sz w:val="24"/>
          <w:szCs w:val="24"/>
        </w:rPr>
        <w:t xml:space="preserve">è </w:t>
      </w:r>
      <w:r w:rsidRPr="00503CCB">
        <w:rPr>
          <w:rFonts w:ascii="Times New Roman" w:hAnsi="Times New Roman" w:cs="Times New Roman"/>
          <w:sz w:val="24"/>
          <w:szCs w:val="24"/>
        </w:rPr>
        <w:t xml:space="preserve">incaricato  e  svolge </w:t>
      </w:r>
      <w:r w:rsidRPr="00503CCB">
        <w:rPr>
          <w:rFonts w:ascii="Times New Roman" w:hAnsi="Times New Roman" w:cs="Times New Roman"/>
          <w:sz w:val="24"/>
          <w:szCs w:val="24"/>
        </w:rPr>
        <w:lastRenderedPageBreak/>
        <w:t xml:space="preserve">effettivamente le funzioni tecniche per le </w:t>
      </w:r>
      <w:r w:rsidR="00E70F4D">
        <w:rPr>
          <w:rFonts w:ascii="Times New Roman" w:hAnsi="Times New Roman" w:cs="Times New Roman"/>
          <w:sz w:val="24"/>
          <w:szCs w:val="24"/>
        </w:rPr>
        <w:t>attività</w:t>
      </w:r>
      <w:r w:rsidRPr="00503CCB">
        <w:rPr>
          <w:rFonts w:ascii="Times New Roman" w:hAnsi="Times New Roman" w:cs="Times New Roman"/>
          <w:sz w:val="24"/>
          <w:szCs w:val="24"/>
        </w:rPr>
        <w:t xml:space="preserve">, anche in  quota parte, di cui all'articolo 113, comma 2, del  decreto  legislativo  e specificamente: </w:t>
      </w:r>
    </w:p>
    <w:p w14:paraId="5048DF3C" w14:textId="72C3CCFF" w:rsidR="00503CCB" w:rsidRPr="00503CCB" w:rsidRDefault="00503CCB" w:rsidP="00E70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03CCB">
        <w:rPr>
          <w:rFonts w:ascii="Times New Roman" w:hAnsi="Times New Roman" w:cs="Times New Roman"/>
          <w:sz w:val="24"/>
          <w:szCs w:val="24"/>
        </w:rPr>
        <w:t xml:space="preserve">  a) programmazione della spesa per investimenti;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A8E80D" w14:textId="77777777" w:rsidR="00503CCB" w:rsidRPr="00503CCB" w:rsidRDefault="00503CCB" w:rsidP="00E70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03CCB">
        <w:rPr>
          <w:rFonts w:ascii="Times New Roman" w:hAnsi="Times New Roman" w:cs="Times New Roman"/>
          <w:sz w:val="24"/>
          <w:szCs w:val="24"/>
        </w:rPr>
        <w:t xml:space="preserve">  b) valutazione preventiva dei progetti; </w:t>
      </w:r>
    </w:p>
    <w:p w14:paraId="33AB9849" w14:textId="708AFD3C" w:rsidR="00503CCB" w:rsidRPr="00503CCB" w:rsidRDefault="00503CCB" w:rsidP="00E74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142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03CCB">
        <w:rPr>
          <w:rFonts w:ascii="Times New Roman" w:hAnsi="Times New Roman" w:cs="Times New Roman"/>
          <w:sz w:val="24"/>
          <w:szCs w:val="24"/>
        </w:rPr>
        <w:t xml:space="preserve">  c) </w:t>
      </w:r>
      <w:proofErr w:type="gramStart"/>
      <w:r w:rsidRPr="00503CCB">
        <w:rPr>
          <w:rFonts w:ascii="Times New Roman" w:hAnsi="Times New Roman" w:cs="Times New Roman"/>
          <w:sz w:val="24"/>
          <w:szCs w:val="24"/>
        </w:rPr>
        <w:t>predisposizione  e</w:t>
      </w:r>
      <w:proofErr w:type="gramEnd"/>
      <w:r w:rsidRPr="00503CCB">
        <w:rPr>
          <w:rFonts w:ascii="Times New Roman" w:hAnsi="Times New Roman" w:cs="Times New Roman"/>
          <w:sz w:val="24"/>
          <w:szCs w:val="24"/>
        </w:rPr>
        <w:t xml:space="preserve">  controllo  delle  procedure  di  gara  e  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3CCB">
        <w:rPr>
          <w:rFonts w:ascii="Times New Roman" w:hAnsi="Times New Roman" w:cs="Times New Roman"/>
          <w:sz w:val="24"/>
          <w:szCs w:val="24"/>
        </w:rPr>
        <w:t xml:space="preserve">esecuzione dei contratti pubblici; </w:t>
      </w:r>
    </w:p>
    <w:p w14:paraId="58FDED14" w14:textId="1F21D58B" w:rsidR="00503CCB" w:rsidRPr="00503CCB" w:rsidRDefault="00503CCB" w:rsidP="00E70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03CCB">
        <w:rPr>
          <w:rFonts w:ascii="Times New Roman" w:hAnsi="Times New Roman" w:cs="Times New Roman"/>
          <w:sz w:val="24"/>
          <w:szCs w:val="24"/>
        </w:rPr>
        <w:t xml:space="preserve">  d) responsabile unico del procedimento;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7CF9D3" w14:textId="77777777" w:rsidR="00503CCB" w:rsidRPr="00503CCB" w:rsidRDefault="00503CCB" w:rsidP="00E70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03CCB">
        <w:rPr>
          <w:rFonts w:ascii="Times New Roman" w:hAnsi="Times New Roman" w:cs="Times New Roman"/>
          <w:sz w:val="24"/>
          <w:szCs w:val="24"/>
        </w:rPr>
        <w:t xml:space="preserve">  e) direzione dei lavori; </w:t>
      </w:r>
    </w:p>
    <w:p w14:paraId="7588DA28" w14:textId="77777777" w:rsidR="00503CCB" w:rsidRPr="00503CCB" w:rsidRDefault="00503CCB" w:rsidP="00E70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03CCB">
        <w:rPr>
          <w:rFonts w:ascii="Times New Roman" w:hAnsi="Times New Roman" w:cs="Times New Roman"/>
          <w:sz w:val="24"/>
          <w:szCs w:val="24"/>
        </w:rPr>
        <w:t xml:space="preserve">  f) direzione dell'esecuzione dei contratti di servizi e forniture; </w:t>
      </w:r>
    </w:p>
    <w:p w14:paraId="1E262DD0" w14:textId="77777777" w:rsidR="00503CCB" w:rsidRPr="00503CCB" w:rsidRDefault="00503CCB" w:rsidP="00E70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03CCB">
        <w:rPr>
          <w:rFonts w:ascii="Times New Roman" w:hAnsi="Times New Roman" w:cs="Times New Roman"/>
          <w:sz w:val="24"/>
          <w:szCs w:val="24"/>
        </w:rPr>
        <w:t xml:space="preserve">  g) collaudo tecnico amministrativo; </w:t>
      </w:r>
    </w:p>
    <w:p w14:paraId="39B85303" w14:textId="77777777" w:rsidR="00503CCB" w:rsidRPr="00503CCB" w:rsidRDefault="00503CCB" w:rsidP="00E70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03CCB">
        <w:rPr>
          <w:rFonts w:ascii="Times New Roman" w:hAnsi="Times New Roman" w:cs="Times New Roman"/>
          <w:sz w:val="24"/>
          <w:szCs w:val="24"/>
        </w:rPr>
        <w:t xml:space="preserve">  h) collaudo statico; </w:t>
      </w:r>
    </w:p>
    <w:p w14:paraId="33D06C71" w14:textId="56F3C7E4" w:rsidR="00503CCB" w:rsidRDefault="00503CCB" w:rsidP="00E70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03CCB">
        <w:rPr>
          <w:rFonts w:ascii="Times New Roman" w:hAnsi="Times New Roman" w:cs="Times New Roman"/>
          <w:sz w:val="24"/>
          <w:szCs w:val="24"/>
        </w:rPr>
        <w:t xml:space="preserve">  i) verifica di conformit</w:t>
      </w:r>
      <w:r w:rsidR="00E70F4D">
        <w:rPr>
          <w:rFonts w:ascii="Times New Roman" w:hAnsi="Times New Roman" w:cs="Times New Roman"/>
          <w:sz w:val="24"/>
          <w:szCs w:val="24"/>
        </w:rPr>
        <w:t xml:space="preserve">à </w:t>
      </w:r>
      <w:r w:rsidRPr="00503CCB">
        <w:rPr>
          <w:rFonts w:ascii="Times New Roman" w:hAnsi="Times New Roman" w:cs="Times New Roman"/>
          <w:sz w:val="24"/>
          <w:szCs w:val="24"/>
        </w:rPr>
        <w:t>nei contratti di servizi e forniture.</w:t>
      </w:r>
    </w:p>
    <w:p w14:paraId="37D3891D" w14:textId="77777777" w:rsidR="006C529F" w:rsidRDefault="006C529F" w:rsidP="00E70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26B7D193" w14:textId="0C454F70" w:rsidR="00503CCB" w:rsidRPr="00503CCB" w:rsidRDefault="00503CCB" w:rsidP="00503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85193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3CCB">
        <w:rPr>
          <w:rFonts w:ascii="Times New Roman" w:hAnsi="Times New Roman" w:cs="Times New Roman"/>
          <w:sz w:val="24"/>
          <w:szCs w:val="24"/>
        </w:rPr>
        <w:t xml:space="preserve">Il   restante   20   per   cento   del   Fondo   </w:t>
      </w:r>
      <w:r w:rsidR="00E70F4D">
        <w:rPr>
          <w:rFonts w:ascii="Times New Roman" w:hAnsi="Times New Roman" w:cs="Times New Roman"/>
          <w:sz w:val="24"/>
          <w:szCs w:val="24"/>
        </w:rPr>
        <w:t xml:space="preserve">è </w:t>
      </w:r>
      <w:r w:rsidRPr="00503CCB">
        <w:rPr>
          <w:rFonts w:ascii="Times New Roman" w:hAnsi="Times New Roman" w:cs="Times New Roman"/>
          <w:sz w:val="24"/>
          <w:szCs w:val="24"/>
        </w:rPr>
        <w:t>destinato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3CCB">
        <w:rPr>
          <w:rFonts w:ascii="Times New Roman" w:hAnsi="Times New Roman" w:cs="Times New Roman"/>
          <w:sz w:val="24"/>
          <w:szCs w:val="24"/>
        </w:rPr>
        <w:t>all'amministrazione secondo quanto disposto dall'articolo 113, comma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3CCB">
        <w:rPr>
          <w:rFonts w:ascii="Times New Roman" w:hAnsi="Times New Roman" w:cs="Times New Roman"/>
          <w:sz w:val="24"/>
          <w:szCs w:val="24"/>
        </w:rPr>
        <w:t xml:space="preserve">4, del decreto legislativo. </w:t>
      </w:r>
    </w:p>
    <w:p w14:paraId="7FBFBE37" w14:textId="77777777" w:rsidR="00503CCB" w:rsidRDefault="00503CCB" w:rsidP="00EF00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55481D5B" w14:textId="77777777" w:rsidR="00503CCB" w:rsidRDefault="00503CCB" w:rsidP="00EF00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722FB5DA" w14:textId="0A7A68DA" w:rsidR="009337D7" w:rsidRDefault="00EF006B" w:rsidP="00EF00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EF006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Art. </w:t>
      </w:r>
      <w:r w:rsidR="00C267CE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2</w:t>
      </w:r>
    </w:p>
    <w:p w14:paraId="40082EAA" w14:textId="59AF7B43" w:rsidR="00EF006B" w:rsidRDefault="00EF006B" w:rsidP="00EF00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EF006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Ripartizione del fondo incentivante</w:t>
      </w:r>
      <w:r w:rsidR="00D0346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per i lavori</w:t>
      </w:r>
    </w:p>
    <w:p w14:paraId="2A8CF423" w14:textId="77777777" w:rsidR="00514DA7" w:rsidRPr="00EF006B" w:rsidRDefault="00514DA7" w:rsidP="00EF00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459FDFBF" w14:textId="1C10F3AE" w:rsidR="00206D22" w:rsidRDefault="00D0346B" w:rsidP="00D0346B">
      <w:pPr>
        <w:pStyle w:val="Paragrafoelenco"/>
        <w:numPr>
          <w:ilvl w:val="0"/>
          <w:numId w:val="22"/>
        </w:numPr>
        <w:spacing w:after="0" w:line="240" w:lineRule="atLeast"/>
        <w:ind w:left="142" w:firstLine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Gli incentivi per i lavori di cui all’art. 5, commi 1 e 4 del </w:t>
      </w:r>
      <w:r w:rsidR="00E70F4D">
        <w:rPr>
          <w:rFonts w:asciiTheme="majorBidi" w:hAnsiTheme="majorBidi" w:cstheme="majorBidi"/>
          <w:sz w:val="24"/>
          <w:szCs w:val="24"/>
        </w:rPr>
        <w:t xml:space="preserve">Regolamento </w:t>
      </w:r>
      <w:r>
        <w:rPr>
          <w:rFonts w:asciiTheme="majorBidi" w:hAnsiTheme="majorBidi" w:cstheme="majorBidi"/>
          <w:sz w:val="24"/>
          <w:szCs w:val="24"/>
        </w:rPr>
        <w:t xml:space="preserve">sono ripartiti </w:t>
      </w:r>
      <w:r w:rsidR="00E74447">
        <w:rPr>
          <w:rFonts w:asciiTheme="majorBidi" w:hAnsiTheme="majorBidi" w:cstheme="majorBidi"/>
          <w:sz w:val="24"/>
          <w:szCs w:val="24"/>
        </w:rPr>
        <w:t>come segue</w:t>
      </w:r>
      <w:r>
        <w:rPr>
          <w:rFonts w:asciiTheme="majorBidi" w:hAnsiTheme="majorBidi" w:cstheme="majorBidi"/>
          <w:sz w:val="24"/>
          <w:szCs w:val="24"/>
        </w:rPr>
        <w:t xml:space="preserve">: </w:t>
      </w:r>
    </w:p>
    <w:p w14:paraId="4C6A4177" w14:textId="77777777" w:rsidR="00851930" w:rsidRPr="00851930" w:rsidRDefault="00851930" w:rsidP="00851930">
      <w:pPr>
        <w:pStyle w:val="Paragrafoelenco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51930">
        <w:rPr>
          <w:rFonts w:ascii="Times New Roman" w:hAnsi="Times New Roman" w:cs="Times New Roman"/>
          <w:sz w:val="24"/>
          <w:szCs w:val="24"/>
        </w:rPr>
        <w:t xml:space="preserve">  a) programmazione della spesa per investimenti: 6%</w:t>
      </w:r>
    </w:p>
    <w:p w14:paraId="235E3D3C" w14:textId="77777777" w:rsidR="00851930" w:rsidRPr="00851930" w:rsidRDefault="00851930" w:rsidP="00851930">
      <w:pPr>
        <w:pStyle w:val="Paragrafoelenco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51930">
        <w:rPr>
          <w:rFonts w:ascii="Times New Roman" w:hAnsi="Times New Roman" w:cs="Times New Roman"/>
          <w:sz w:val="24"/>
          <w:szCs w:val="24"/>
        </w:rPr>
        <w:t xml:space="preserve">  b) valutazione preventiva dei progetti: 4%</w:t>
      </w:r>
    </w:p>
    <w:p w14:paraId="715FF9D1" w14:textId="77777777" w:rsidR="00851930" w:rsidRPr="00851930" w:rsidRDefault="00851930" w:rsidP="00851930">
      <w:pPr>
        <w:pStyle w:val="Paragrafoelenco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51930">
        <w:rPr>
          <w:rFonts w:ascii="Times New Roman" w:hAnsi="Times New Roman" w:cs="Times New Roman"/>
          <w:sz w:val="24"/>
          <w:szCs w:val="24"/>
        </w:rPr>
        <w:t xml:space="preserve">  c) </w:t>
      </w:r>
      <w:proofErr w:type="gramStart"/>
      <w:r w:rsidRPr="00851930">
        <w:rPr>
          <w:rFonts w:ascii="Times New Roman" w:hAnsi="Times New Roman" w:cs="Times New Roman"/>
          <w:sz w:val="24"/>
          <w:szCs w:val="24"/>
        </w:rPr>
        <w:t>predisposizione  e</w:t>
      </w:r>
      <w:proofErr w:type="gramEnd"/>
      <w:r w:rsidRPr="00851930">
        <w:rPr>
          <w:rFonts w:ascii="Times New Roman" w:hAnsi="Times New Roman" w:cs="Times New Roman"/>
          <w:sz w:val="24"/>
          <w:szCs w:val="24"/>
        </w:rPr>
        <w:t xml:space="preserve">  controllo  delle  procedure  di  gara  e  di esecuzione dei contratti pubblici: 12%</w:t>
      </w:r>
    </w:p>
    <w:p w14:paraId="09FFAAA9" w14:textId="77777777" w:rsidR="00851930" w:rsidRPr="00851930" w:rsidRDefault="00851930" w:rsidP="00851930">
      <w:pPr>
        <w:pStyle w:val="Paragrafoelenco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51930">
        <w:rPr>
          <w:rFonts w:ascii="Times New Roman" w:hAnsi="Times New Roman" w:cs="Times New Roman"/>
          <w:sz w:val="24"/>
          <w:szCs w:val="24"/>
        </w:rPr>
        <w:t xml:space="preserve">  d) responsabile unico del procedimento: 29%</w:t>
      </w:r>
    </w:p>
    <w:p w14:paraId="3042BFE1" w14:textId="025C02A3" w:rsidR="00851930" w:rsidRPr="00851930" w:rsidRDefault="00851930" w:rsidP="00851930">
      <w:pPr>
        <w:pStyle w:val="Paragrafoelenco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51930">
        <w:rPr>
          <w:rFonts w:ascii="Times New Roman" w:hAnsi="Times New Roman" w:cs="Times New Roman"/>
          <w:sz w:val="24"/>
          <w:szCs w:val="24"/>
        </w:rPr>
        <w:t xml:space="preserve">  e) direzione dei lavori: 29% </w:t>
      </w:r>
    </w:p>
    <w:p w14:paraId="0BC7F435" w14:textId="77777777" w:rsidR="00851930" w:rsidRPr="00851930" w:rsidRDefault="00851930" w:rsidP="00851930">
      <w:pPr>
        <w:pStyle w:val="Paragrafoelenco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51930">
        <w:rPr>
          <w:rFonts w:ascii="Times New Roman" w:hAnsi="Times New Roman" w:cs="Times New Roman"/>
          <w:sz w:val="24"/>
          <w:szCs w:val="24"/>
        </w:rPr>
        <w:t xml:space="preserve">  g) ufficio direzione lavori: 8%</w:t>
      </w:r>
    </w:p>
    <w:p w14:paraId="10F04416" w14:textId="296A54FB" w:rsidR="00851930" w:rsidRPr="00851930" w:rsidRDefault="00851930" w:rsidP="00851930">
      <w:pPr>
        <w:pStyle w:val="Paragrafoelenco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51930">
        <w:rPr>
          <w:rFonts w:ascii="Times New Roman" w:hAnsi="Times New Roman" w:cs="Times New Roman"/>
          <w:sz w:val="24"/>
          <w:szCs w:val="24"/>
        </w:rPr>
        <w:t xml:space="preserve">  h) collaudo tecnico amministrativo o collaudo statico: 12%</w:t>
      </w:r>
      <w:r w:rsidR="00A23601">
        <w:rPr>
          <w:rFonts w:ascii="Times New Roman" w:hAnsi="Times New Roman" w:cs="Times New Roman"/>
          <w:sz w:val="24"/>
          <w:szCs w:val="24"/>
        </w:rPr>
        <w:t>.</w:t>
      </w:r>
    </w:p>
    <w:p w14:paraId="51923733" w14:textId="77777777" w:rsidR="00575761" w:rsidRPr="00206D22" w:rsidRDefault="00575761" w:rsidP="00EF006B">
      <w:pPr>
        <w:spacing w:after="0" w:line="240" w:lineRule="atLeast"/>
        <w:jc w:val="both"/>
        <w:rPr>
          <w:rFonts w:asciiTheme="majorBidi" w:hAnsiTheme="majorBidi" w:cstheme="majorBidi"/>
          <w:sz w:val="24"/>
          <w:szCs w:val="24"/>
        </w:rPr>
      </w:pPr>
    </w:p>
    <w:p w14:paraId="01B7AA62" w14:textId="48B779F0" w:rsidR="004F6431" w:rsidRPr="00D0346B" w:rsidRDefault="00D0346B" w:rsidP="00D0346B">
      <w:pPr>
        <w:spacing w:after="0" w:line="240" w:lineRule="atLeast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D0346B">
        <w:rPr>
          <w:rFonts w:asciiTheme="majorBidi" w:hAnsiTheme="majorBidi" w:cstheme="majorBidi"/>
          <w:b/>
          <w:bCs/>
          <w:sz w:val="24"/>
          <w:szCs w:val="24"/>
        </w:rPr>
        <w:t xml:space="preserve">Art. </w:t>
      </w:r>
      <w:r w:rsidR="00C267CE">
        <w:rPr>
          <w:rFonts w:asciiTheme="majorBidi" w:hAnsiTheme="majorBidi" w:cstheme="majorBidi"/>
          <w:b/>
          <w:bCs/>
          <w:sz w:val="24"/>
          <w:szCs w:val="24"/>
        </w:rPr>
        <w:t>3</w:t>
      </w:r>
    </w:p>
    <w:p w14:paraId="45A3E773" w14:textId="3C80B55F" w:rsidR="00D0346B" w:rsidRDefault="00D0346B" w:rsidP="00D0346B">
      <w:pPr>
        <w:spacing w:after="0" w:line="240" w:lineRule="atLeast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D0346B">
        <w:rPr>
          <w:rFonts w:asciiTheme="majorBidi" w:hAnsiTheme="majorBidi" w:cstheme="majorBidi"/>
          <w:b/>
          <w:bCs/>
          <w:sz w:val="24"/>
          <w:szCs w:val="24"/>
        </w:rPr>
        <w:t xml:space="preserve">Ripartizione del fondo incentivante per le forniture e i servizi </w:t>
      </w:r>
    </w:p>
    <w:p w14:paraId="6ED494A4" w14:textId="77777777" w:rsidR="00D0346B" w:rsidRDefault="00D0346B" w:rsidP="00D0346B">
      <w:pPr>
        <w:spacing w:after="0" w:line="240" w:lineRule="atLeast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5C155AE5" w14:textId="4858665E" w:rsidR="00D0346B" w:rsidRDefault="00D0346B" w:rsidP="00D0346B">
      <w:pPr>
        <w:pStyle w:val="Paragrafoelenco"/>
        <w:numPr>
          <w:ilvl w:val="0"/>
          <w:numId w:val="24"/>
        </w:numPr>
        <w:spacing w:after="0" w:line="240" w:lineRule="atLeast"/>
        <w:ind w:left="142" w:firstLine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Gli incentivi per </w:t>
      </w:r>
      <w:r w:rsidR="00851930">
        <w:rPr>
          <w:rFonts w:asciiTheme="majorBidi" w:hAnsiTheme="majorBidi" w:cstheme="majorBidi"/>
          <w:sz w:val="24"/>
          <w:szCs w:val="24"/>
        </w:rPr>
        <w:t xml:space="preserve">le forniture e i servizi, </w:t>
      </w:r>
      <w:r>
        <w:rPr>
          <w:rFonts w:asciiTheme="majorBidi" w:hAnsiTheme="majorBidi" w:cstheme="majorBidi"/>
          <w:sz w:val="24"/>
          <w:szCs w:val="24"/>
        </w:rPr>
        <w:t xml:space="preserve">di cui all’art. 6, commi 1 e 4 del Decreto Ministeriale 4 agosto 2021, n. 124, sono ripartiti </w:t>
      </w:r>
      <w:r w:rsidR="00E74447">
        <w:rPr>
          <w:rFonts w:asciiTheme="majorBidi" w:hAnsiTheme="majorBidi" w:cstheme="majorBidi"/>
          <w:sz w:val="24"/>
          <w:szCs w:val="24"/>
        </w:rPr>
        <w:t>come segue</w:t>
      </w:r>
      <w:r>
        <w:rPr>
          <w:rFonts w:asciiTheme="majorBidi" w:hAnsiTheme="majorBidi" w:cstheme="majorBidi"/>
          <w:sz w:val="24"/>
          <w:szCs w:val="24"/>
        </w:rPr>
        <w:t xml:space="preserve">: </w:t>
      </w:r>
    </w:p>
    <w:p w14:paraId="03B7A2DA" w14:textId="77777777" w:rsidR="00A23601" w:rsidRPr="00A23601" w:rsidRDefault="00A23601" w:rsidP="00A23601">
      <w:pPr>
        <w:pStyle w:val="Paragrafoelenco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23601">
        <w:rPr>
          <w:rFonts w:ascii="Times New Roman" w:hAnsi="Times New Roman" w:cs="Times New Roman"/>
          <w:sz w:val="24"/>
          <w:szCs w:val="24"/>
        </w:rPr>
        <w:t>a) programmazione della spesa per investimenti: 6%</w:t>
      </w:r>
    </w:p>
    <w:p w14:paraId="36EF3C91" w14:textId="6B67B6F1" w:rsidR="00A23601" w:rsidRPr="00A23601" w:rsidRDefault="00A23601" w:rsidP="00A23601">
      <w:pPr>
        <w:pStyle w:val="Paragrafoelenco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23601">
        <w:rPr>
          <w:rFonts w:ascii="Times New Roman" w:hAnsi="Times New Roman" w:cs="Times New Roman"/>
          <w:sz w:val="24"/>
          <w:szCs w:val="24"/>
        </w:rPr>
        <w:t>b) valutazione preventiva dei progetti: 4%</w:t>
      </w:r>
    </w:p>
    <w:p w14:paraId="12F3696F" w14:textId="76322BD3" w:rsidR="00A23601" w:rsidRPr="00A23601" w:rsidRDefault="00A23601" w:rsidP="00A23601">
      <w:pPr>
        <w:pStyle w:val="Paragrafoelenco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23601"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 w:rsidRPr="00A23601">
        <w:rPr>
          <w:rFonts w:ascii="Times New Roman" w:hAnsi="Times New Roman" w:cs="Times New Roman"/>
          <w:sz w:val="24"/>
          <w:szCs w:val="24"/>
        </w:rPr>
        <w:t>predisposizione  e</w:t>
      </w:r>
      <w:proofErr w:type="gramEnd"/>
      <w:r w:rsidRPr="00A23601">
        <w:rPr>
          <w:rFonts w:ascii="Times New Roman" w:hAnsi="Times New Roman" w:cs="Times New Roman"/>
          <w:sz w:val="24"/>
          <w:szCs w:val="24"/>
        </w:rPr>
        <w:t xml:space="preserve">  controllo  delle  procedure  di  gara  e  di esecuzione dei contratti pubblici: 12%</w:t>
      </w:r>
    </w:p>
    <w:p w14:paraId="1F208A3D" w14:textId="02031A09" w:rsidR="00A23601" w:rsidRPr="00A23601" w:rsidRDefault="00A23601" w:rsidP="00A23601">
      <w:pPr>
        <w:pStyle w:val="Paragrafoelenco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23601">
        <w:rPr>
          <w:rFonts w:ascii="Times New Roman" w:hAnsi="Times New Roman" w:cs="Times New Roman"/>
          <w:sz w:val="24"/>
          <w:szCs w:val="24"/>
        </w:rPr>
        <w:t>d) responsabile unico del procedimento: 35%</w:t>
      </w:r>
    </w:p>
    <w:p w14:paraId="3E640181" w14:textId="4B3FA4F4" w:rsidR="00A23601" w:rsidRPr="00A23601" w:rsidRDefault="00A23601" w:rsidP="00A23601">
      <w:pPr>
        <w:pStyle w:val="Paragrafoelenco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23601">
        <w:rPr>
          <w:rFonts w:ascii="Times New Roman" w:hAnsi="Times New Roman" w:cs="Times New Roman"/>
          <w:sz w:val="24"/>
          <w:szCs w:val="24"/>
        </w:rPr>
        <w:t xml:space="preserve">e) direzione dell'esecuzione dei contratti di servizi e forniture: 24% </w:t>
      </w:r>
    </w:p>
    <w:p w14:paraId="1D9A864F" w14:textId="6BAB65B9" w:rsidR="00A23601" w:rsidRPr="00A23601" w:rsidRDefault="00A23601" w:rsidP="00A23601">
      <w:pPr>
        <w:pStyle w:val="Paragrafoelenco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23601">
        <w:rPr>
          <w:rFonts w:ascii="Times New Roman" w:hAnsi="Times New Roman" w:cs="Times New Roman"/>
          <w:sz w:val="24"/>
          <w:szCs w:val="24"/>
        </w:rPr>
        <w:t>f)  verifica di conformità nei contratti di servizi e forniture: 18%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E3400F3" w14:textId="77777777" w:rsidR="00D0346B" w:rsidRPr="00D0346B" w:rsidRDefault="00D0346B" w:rsidP="00A23601">
      <w:pPr>
        <w:spacing w:after="0" w:line="240" w:lineRule="atLeast"/>
        <w:rPr>
          <w:rFonts w:asciiTheme="majorBidi" w:hAnsiTheme="majorBidi" w:cstheme="majorBidi"/>
          <w:b/>
          <w:bCs/>
          <w:sz w:val="24"/>
          <w:szCs w:val="24"/>
        </w:rPr>
      </w:pPr>
    </w:p>
    <w:p w14:paraId="7B6DE8AA" w14:textId="080F0BB2" w:rsidR="00C267CE" w:rsidRDefault="00C267CE" w:rsidP="00C267CE">
      <w:pPr>
        <w:spacing w:after="0" w:line="240" w:lineRule="atLeast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Art. 4</w:t>
      </w:r>
    </w:p>
    <w:p w14:paraId="51536788" w14:textId="76CF2FA1" w:rsidR="00C267CE" w:rsidRDefault="00C267CE" w:rsidP="00F61103">
      <w:pPr>
        <w:spacing w:after="0" w:line="240" w:lineRule="atLeast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Programmazione della spesa per investimenti</w:t>
      </w:r>
    </w:p>
    <w:p w14:paraId="6579DC3C" w14:textId="57D38D7A" w:rsidR="00063B86" w:rsidRDefault="00F61103" w:rsidP="00063B86">
      <w:pPr>
        <w:pStyle w:val="Paragrafoelenco"/>
        <w:numPr>
          <w:ilvl w:val="0"/>
          <w:numId w:val="43"/>
        </w:numPr>
        <w:spacing w:after="0" w:line="240" w:lineRule="atLeast"/>
        <w:ind w:hanging="578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L’incentivo di cui </w:t>
      </w:r>
      <w:r w:rsidR="00133F7C" w:rsidRPr="00133F7C">
        <w:rPr>
          <w:rFonts w:asciiTheme="majorBidi" w:hAnsiTheme="majorBidi" w:cstheme="majorBidi"/>
          <w:sz w:val="24"/>
          <w:szCs w:val="24"/>
        </w:rPr>
        <w:t>all’art. 4, comma 1, lett. a) del Regolamento</w:t>
      </w:r>
      <w:r>
        <w:rPr>
          <w:rFonts w:asciiTheme="majorBidi" w:hAnsiTheme="majorBidi" w:cstheme="majorBidi"/>
          <w:sz w:val="24"/>
          <w:szCs w:val="24"/>
        </w:rPr>
        <w:t xml:space="preserve"> è riconosciuto per le attività di programmazione degli investimenti, previsti dal comma 1, e che </w:t>
      </w:r>
      <w:r w:rsidR="00063B86">
        <w:rPr>
          <w:rFonts w:asciiTheme="majorBidi" w:hAnsiTheme="majorBidi" w:cstheme="majorBidi"/>
          <w:sz w:val="24"/>
          <w:szCs w:val="24"/>
        </w:rPr>
        <w:t>sono inseriti:</w:t>
      </w:r>
    </w:p>
    <w:p w14:paraId="31794C14" w14:textId="643EA936" w:rsidR="00133F7C" w:rsidRDefault="00063B86" w:rsidP="00063B86">
      <w:pPr>
        <w:pStyle w:val="Paragrafoelenco"/>
        <w:shd w:val="clear" w:color="auto" w:fill="FFFFFF"/>
        <w:spacing w:after="0" w:line="240" w:lineRule="atLeast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a) nel programma di </w:t>
      </w:r>
      <w:r w:rsidR="00133F7C" w:rsidRPr="00133F7C">
        <w:rPr>
          <w:rFonts w:asciiTheme="majorBidi" w:hAnsiTheme="majorBidi" w:cstheme="majorBidi"/>
          <w:sz w:val="24"/>
          <w:szCs w:val="24"/>
        </w:rPr>
        <w:t>acquist</w:t>
      </w:r>
      <w:r w:rsidR="00F61103">
        <w:rPr>
          <w:rFonts w:asciiTheme="majorBidi" w:hAnsiTheme="majorBidi" w:cstheme="majorBidi"/>
          <w:sz w:val="24"/>
          <w:szCs w:val="24"/>
        </w:rPr>
        <w:t>o</w:t>
      </w:r>
      <w:r w:rsidR="00133F7C" w:rsidRPr="00133F7C">
        <w:rPr>
          <w:rFonts w:asciiTheme="majorBidi" w:hAnsiTheme="majorBidi" w:cstheme="majorBidi"/>
          <w:sz w:val="24"/>
          <w:szCs w:val="24"/>
        </w:rPr>
        <w:t xml:space="preserve"> di beni e servizi di importo unitario stimato pari o superiore a 40.000 euro</w:t>
      </w:r>
      <w:r w:rsidR="00F61103">
        <w:rPr>
          <w:rFonts w:asciiTheme="majorBidi" w:hAnsiTheme="majorBidi" w:cstheme="majorBidi"/>
          <w:sz w:val="24"/>
          <w:szCs w:val="24"/>
        </w:rPr>
        <w:t>,</w:t>
      </w:r>
      <w:r w:rsidR="00133F7C" w:rsidRPr="00133F7C">
        <w:rPr>
          <w:rFonts w:asciiTheme="majorBidi" w:hAnsiTheme="majorBidi" w:cstheme="majorBidi"/>
          <w:sz w:val="24"/>
          <w:szCs w:val="24"/>
        </w:rPr>
        <w:t xml:space="preserve"> nonché </w:t>
      </w:r>
      <w:r>
        <w:rPr>
          <w:rFonts w:asciiTheme="majorBidi" w:hAnsiTheme="majorBidi" w:cstheme="majorBidi"/>
          <w:sz w:val="24"/>
          <w:szCs w:val="24"/>
        </w:rPr>
        <w:t>ne</w:t>
      </w:r>
      <w:r w:rsidR="00133F7C" w:rsidRPr="00133F7C">
        <w:rPr>
          <w:rFonts w:asciiTheme="majorBidi" w:hAnsiTheme="majorBidi" w:cstheme="majorBidi"/>
          <w:sz w:val="24"/>
          <w:szCs w:val="24"/>
        </w:rPr>
        <w:t>i relativi aggiornamenti annuali</w:t>
      </w:r>
      <w:r w:rsidR="00F61103">
        <w:rPr>
          <w:rFonts w:asciiTheme="majorBidi" w:hAnsiTheme="majorBidi" w:cstheme="majorBidi"/>
          <w:sz w:val="24"/>
          <w:szCs w:val="24"/>
        </w:rPr>
        <w:t xml:space="preserve">, previsto dall’art. 21, comma 6, primo periodo, del decreto legislativo </w:t>
      </w:r>
      <w:r>
        <w:rPr>
          <w:rFonts w:asciiTheme="majorBidi" w:hAnsiTheme="majorBidi" w:cstheme="majorBidi"/>
          <w:sz w:val="24"/>
          <w:szCs w:val="24"/>
        </w:rPr>
        <w:t>18 aprile</w:t>
      </w:r>
      <w:r w:rsidR="00F61103">
        <w:rPr>
          <w:rFonts w:asciiTheme="majorBidi" w:hAnsiTheme="majorBidi" w:cstheme="majorBidi"/>
          <w:sz w:val="24"/>
          <w:szCs w:val="24"/>
        </w:rPr>
        <w:t xml:space="preserve"> 2016, nr. 50;</w:t>
      </w:r>
    </w:p>
    <w:p w14:paraId="31D8CF4A" w14:textId="0E4D4DAE" w:rsidR="00063B86" w:rsidRDefault="00063B86" w:rsidP="00063B86">
      <w:pPr>
        <w:pStyle w:val="Paragrafoelenco"/>
        <w:shd w:val="clear" w:color="auto" w:fill="FFFFFF"/>
        <w:spacing w:after="0" w:line="240" w:lineRule="atLeast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 xml:space="preserve">b) </w:t>
      </w:r>
      <w:r w:rsidRPr="00063B86">
        <w:rPr>
          <w:rFonts w:asciiTheme="majorBidi" w:hAnsiTheme="majorBidi" w:cstheme="majorBidi"/>
          <w:sz w:val="24"/>
          <w:szCs w:val="24"/>
        </w:rPr>
        <w:t xml:space="preserve">oppure nel programma </w:t>
      </w:r>
      <w:r w:rsidR="00133F7C" w:rsidRPr="00063B86">
        <w:rPr>
          <w:rFonts w:asciiTheme="majorBidi" w:hAnsiTheme="majorBidi" w:cstheme="majorBidi"/>
          <w:sz w:val="24"/>
          <w:szCs w:val="24"/>
        </w:rPr>
        <w:t>triennale dei lavori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133F7C">
        <w:rPr>
          <w:rFonts w:asciiTheme="majorBidi" w:hAnsiTheme="majorBidi" w:cstheme="majorBidi"/>
          <w:sz w:val="24"/>
          <w:szCs w:val="24"/>
        </w:rPr>
        <w:t xml:space="preserve">di importo </w:t>
      </w:r>
      <w:r>
        <w:rPr>
          <w:rFonts w:asciiTheme="majorBidi" w:hAnsiTheme="majorBidi" w:cstheme="majorBidi"/>
          <w:sz w:val="24"/>
          <w:szCs w:val="24"/>
        </w:rPr>
        <w:t xml:space="preserve">stimato </w:t>
      </w:r>
      <w:r w:rsidRPr="00133F7C">
        <w:rPr>
          <w:rFonts w:asciiTheme="majorBidi" w:hAnsiTheme="majorBidi" w:cstheme="majorBidi"/>
          <w:sz w:val="24"/>
          <w:szCs w:val="24"/>
        </w:rPr>
        <w:t>pari o superiore a 100.000 euro</w:t>
      </w:r>
      <w:r>
        <w:rPr>
          <w:rFonts w:asciiTheme="majorBidi" w:hAnsiTheme="majorBidi" w:cstheme="majorBidi"/>
          <w:sz w:val="24"/>
          <w:szCs w:val="24"/>
        </w:rPr>
        <w:t xml:space="preserve">, nonché </w:t>
      </w:r>
      <w:proofErr w:type="gramStart"/>
      <w:r>
        <w:rPr>
          <w:rFonts w:asciiTheme="majorBidi" w:hAnsiTheme="majorBidi" w:cstheme="majorBidi"/>
          <w:sz w:val="24"/>
          <w:szCs w:val="24"/>
        </w:rPr>
        <w:t>n</w:t>
      </w:r>
      <w:r w:rsidR="00133F7C" w:rsidRPr="00063B86">
        <w:rPr>
          <w:rFonts w:asciiTheme="majorBidi" w:hAnsiTheme="majorBidi" w:cstheme="majorBidi"/>
          <w:sz w:val="24"/>
          <w:szCs w:val="24"/>
        </w:rPr>
        <w:t>ei  relativi</w:t>
      </w:r>
      <w:proofErr w:type="gramEnd"/>
      <w:r w:rsidR="00133F7C" w:rsidRPr="00063B86">
        <w:rPr>
          <w:rFonts w:asciiTheme="majorBidi" w:hAnsiTheme="majorBidi" w:cstheme="majorBidi"/>
          <w:sz w:val="24"/>
          <w:szCs w:val="24"/>
        </w:rPr>
        <w:t xml:space="preserve"> aggiornamenti annuali</w:t>
      </w:r>
      <w:r>
        <w:rPr>
          <w:rFonts w:asciiTheme="majorBidi" w:hAnsiTheme="majorBidi" w:cstheme="majorBidi"/>
          <w:sz w:val="24"/>
          <w:szCs w:val="24"/>
        </w:rPr>
        <w:t>, previsto dall’art. 21, comma 3, del decreto legislativo 18 aprile 2016, nr. 50.</w:t>
      </w:r>
    </w:p>
    <w:p w14:paraId="3F940C55" w14:textId="42B15078" w:rsidR="00133F7C" w:rsidRPr="00063B86" w:rsidRDefault="00133F7C" w:rsidP="00063B86">
      <w:pPr>
        <w:pStyle w:val="Paragrafoelenco"/>
        <w:numPr>
          <w:ilvl w:val="0"/>
          <w:numId w:val="43"/>
        </w:numPr>
        <w:shd w:val="clear" w:color="auto" w:fill="FFFFFF"/>
        <w:spacing w:after="0" w:line="240" w:lineRule="atLeast"/>
        <w:ind w:hanging="578"/>
        <w:jc w:val="both"/>
        <w:rPr>
          <w:rFonts w:asciiTheme="majorBidi" w:hAnsiTheme="majorBidi" w:cstheme="majorBidi"/>
          <w:sz w:val="24"/>
          <w:szCs w:val="24"/>
        </w:rPr>
      </w:pPr>
      <w:r w:rsidRPr="00063B86">
        <w:rPr>
          <w:rFonts w:asciiTheme="majorBidi" w:hAnsiTheme="majorBidi" w:cstheme="majorBidi"/>
          <w:sz w:val="24"/>
          <w:szCs w:val="24"/>
        </w:rPr>
        <w:t xml:space="preserve">Gli incentivi sono corrisposti al personale coinvolto nelle attività di programmazione e raccolta dei fabbisogni, sia a livello territoriale che a livello centrale. </w:t>
      </w:r>
    </w:p>
    <w:p w14:paraId="6DB6EF56" w14:textId="77777777" w:rsidR="00926235" w:rsidRPr="00EF5C2A" w:rsidRDefault="00926235" w:rsidP="00C267CE">
      <w:pPr>
        <w:pStyle w:val="Paragrafoelenco"/>
        <w:spacing w:after="0" w:line="240" w:lineRule="atLeast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488EBFA7" w14:textId="77777777" w:rsidR="00C267CE" w:rsidRDefault="00C267CE" w:rsidP="00C267CE">
      <w:pPr>
        <w:shd w:val="clear" w:color="auto" w:fill="FFFFFF"/>
        <w:spacing w:after="0" w:line="240" w:lineRule="atLeast"/>
        <w:rPr>
          <w:rFonts w:asciiTheme="majorBidi" w:hAnsiTheme="majorBidi" w:cstheme="majorBidi"/>
          <w:sz w:val="24"/>
          <w:szCs w:val="24"/>
        </w:rPr>
      </w:pPr>
    </w:p>
    <w:p w14:paraId="275B3280" w14:textId="76E1BEFA" w:rsidR="00C267CE" w:rsidRDefault="00C267CE" w:rsidP="00C267CE">
      <w:pPr>
        <w:shd w:val="clear" w:color="auto" w:fill="FFFFFF"/>
        <w:spacing w:after="0" w:line="240" w:lineRule="atLeast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Art. 5</w:t>
      </w:r>
    </w:p>
    <w:p w14:paraId="70AD2141" w14:textId="77777777" w:rsidR="00C267CE" w:rsidRDefault="00C267CE" w:rsidP="00C267CE">
      <w:pPr>
        <w:shd w:val="clear" w:color="auto" w:fill="FFFFFF"/>
        <w:spacing w:after="0" w:line="240" w:lineRule="atLeast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Procedure escluse dagli incentivi</w:t>
      </w:r>
    </w:p>
    <w:p w14:paraId="296F3CFA" w14:textId="77777777" w:rsidR="00E74447" w:rsidRDefault="00E74447" w:rsidP="00C267CE">
      <w:pPr>
        <w:shd w:val="clear" w:color="auto" w:fill="FFFFFF"/>
        <w:spacing w:after="0" w:line="240" w:lineRule="atLeast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3CE1A2C4" w14:textId="6E6B9D4C" w:rsidR="00C267CE" w:rsidRPr="002230CA" w:rsidRDefault="00C267CE" w:rsidP="002230CA">
      <w:pPr>
        <w:pStyle w:val="Paragrafoelenco"/>
        <w:numPr>
          <w:ilvl w:val="0"/>
          <w:numId w:val="44"/>
        </w:numPr>
        <w:shd w:val="clear" w:color="auto" w:fill="FFFFFF"/>
        <w:spacing w:after="0" w:line="240" w:lineRule="atLeast"/>
        <w:ind w:hanging="578"/>
        <w:jc w:val="both"/>
        <w:rPr>
          <w:rFonts w:asciiTheme="majorBidi" w:hAnsiTheme="majorBidi" w:cstheme="majorBidi"/>
          <w:sz w:val="24"/>
          <w:szCs w:val="24"/>
        </w:rPr>
      </w:pPr>
      <w:r w:rsidRPr="002230CA">
        <w:rPr>
          <w:rFonts w:asciiTheme="majorBidi" w:hAnsiTheme="majorBidi" w:cstheme="majorBidi"/>
          <w:sz w:val="24"/>
          <w:szCs w:val="24"/>
        </w:rPr>
        <w:t>Sono escluse dagli incentivi le attività compiute in relazione alle seguenti tipologie di procedure di affidamento:</w:t>
      </w:r>
    </w:p>
    <w:p w14:paraId="475153B8" w14:textId="6E310B88" w:rsidR="002230CA" w:rsidRDefault="00C778CC" w:rsidP="002230CA">
      <w:pPr>
        <w:pStyle w:val="Paragrafoelenco"/>
        <w:numPr>
          <w:ilvl w:val="0"/>
          <w:numId w:val="10"/>
        </w:numPr>
        <w:spacing w:after="0" w:line="240" w:lineRule="auto"/>
        <w:ind w:hanging="11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</w:t>
      </w:r>
      <w:r w:rsidR="00C267CE" w:rsidRPr="002230CA">
        <w:rPr>
          <w:rFonts w:asciiTheme="majorBidi" w:hAnsiTheme="majorBidi" w:cstheme="majorBidi"/>
          <w:sz w:val="24"/>
          <w:szCs w:val="24"/>
        </w:rPr>
        <w:t>ocazioni</w:t>
      </w:r>
      <w:r>
        <w:rPr>
          <w:rFonts w:asciiTheme="majorBidi" w:hAnsiTheme="majorBidi" w:cstheme="majorBidi"/>
          <w:sz w:val="24"/>
          <w:szCs w:val="24"/>
        </w:rPr>
        <w:t>;</w:t>
      </w:r>
    </w:p>
    <w:p w14:paraId="1B43C953" w14:textId="77777777" w:rsidR="002230CA" w:rsidRDefault="00C267CE" w:rsidP="002230CA">
      <w:pPr>
        <w:pStyle w:val="Paragrafoelenco"/>
        <w:numPr>
          <w:ilvl w:val="0"/>
          <w:numId w:val="10"/>
        </w:numPr>
        <w:spacing w:after="0" w:line="240" w:lineRule="auto"/>
        <w:ind w:hanging="11"/>
        <w:jc w:val="both"/>
        <w:rPr>
          <w:rFonts w:asciiTheme="majorBidi" w:hAnsiTheme="majorBidi" w:cstheme="majorBidi"/>
          <w:sz w:val="24"/>
          <w:szCs w:val="24"/>
        </w:rPr>
      </w:pPr>
      <w:r w:rsidRPr="002230CA">
        <w:rPr>
          <w:rFonts w:asciiTheme="majorBidi" w:hAnsiTheme="majorBidi" w:cstheme="majorBidi"/>
          <w:sz w:val="24"/>
          <w:szCs w:val="24"/>
        </w:rPr>
        <w:t>concessioni di servizi;</w:t>
      </w:r>
    </w:p>
    <w:p w14:paraId="2C4624A1" w14:textId="77777777" w:rsidR="002230CA" w:rsidRDefault="00C267CE" w:rsidP="002230CA">
      <w:pPr>
        <w:pStyle w:val="Paragrafoelenco"/>
        <w:numPr>
          <w:ilvl w:val="0"/>
          <w:numId w:val="10"/>
        </w:numPr>
        <w:spacing w:after="0" w:line="240" w:lineRule="auto"/>
        <w:ind w:hanging="11"/>
        <w:jc w:val="both"/>
        <w:rPr>
          <w:rFonts w:asciiTheme="majorBidi" w:hAnsiTheme="majorBidi" w:cstheme="majorBidi"/>
          <w:sz w:val="24"/>
          <w:szCs w:val="24"/>
        </w:rPr>
      </w:pPr>
      <w:r w:rsidRPr="002230CA">
        <w:rPr>
          <w:rFonts w:asciiTheme="majorBidi" w:hAnsiTheme="majorBidi" w:cstheme="majorBidi"/>
          <w:sz w:val="24"/>
          <w:szCs w:val="24"/>
        </w:rPr>
        <w:t xml:space="preserve">affidamento diretto </w:t>
      </w:r>
      <w:r w:rsidR="002230CA" w:rsidRPr="002230CA">
        <w:rPr>
          <w:rFonts w:asciiTheme="majorBidi" w:hAnsiTheme="majorBidi" w:cstheme="majorBidi"/>
          <w:sz w:val="24"/>
          <w:szCs w:val="24"/>
        </w:rPr>
        <w:t>di cui all’art. 36, comma 2, lettera a), effettuato senza previa consultazione di due o più operatori economici;</w:t>
      </w:r>
    </w:p>
    <w:p w14:paraId="43271921" w14:textId="77777777" w:rsidR="002230CA" w:rsidRDefault="00C267CE" w:rsidP="002230CA">
      <w:pPr>
        <w:pStyle w:val="Paragrafoelenco"/>
        <w:numPr>
          <w:ilvl w:val="0"/>
          <w:numId w:val="10"/>
        </w:numPr>
        <w:spacing w:after="0" w:line="240" w:lineRule="auto"/>
        <w:ind w:hanging="11"/>
        <w:jc w:val="both"/>
        <w:rPr>
          <w:rFonts w:asciiTheme="majorBidi" w:hAnsiTheme="majorBidi" w:cstheme="majorBidi"/>
          <w:sz w:val="24"/>
          <w:szCs w:val="24"/>
        </w:rPr>
      </w:pPr>
      <w:r w:rsidRPr="002230CA">
        <w:rPr>
          <w:rFonts w:asciiTheme="majorBidi" w:hAnsiTheme="majorBidi" w:cstheme="majorBidi"/>
          <w:sz w:val="24"/>
          <w:szCs w:val="24"/>
        </w:rPr>
        <w:t>somma urgenza;</w:t>
      </w:r>
    </w:p>
    <w:p w14:paraId="29881E72" w14:textId="77777777" w:rsidR="002230CA" w:rsidRDefault="00C267CE" w:rsidP="002230CA">
      <w:pPr>
        <w:pStyle w:val="Paragrafoelenco"/>
        <w:numPr>
          <w:ilvl w:val="0"/>
          <w:numId w:val="10"/>
        </w:numPr>
        <w:spacing w:after="0" w:line="240" w:lineRule="auto"/>
        <w:ind w:hanging="11"/>
        <w:jc w:val="both"/>
        <w:rPr>
          <w:rFonts w:asciiTheme="majorBidi" w:hAnsiTheme="majorBidi" w:cstheme="majorBidi"/>
          <w:sz w:val="24"/>
          <w:szCs w:val="24"/>
        </w:rPr>
      </w:pPr>
      <w:r w:rsidRPr="002230CA">
        <w:rPr>
          <w:rFonts w:asciiTheme="majorBidi" w:hAnsiTheme="majorBidi" w:cstheme="majorBidi"/>
          <w:sz w:val="24"/>
          <w:szCs w:val="24"/>
        </w:rPr>
        <w:t>appalti di forniture e servizi per i quali non è stato nominato il DEC;</w:t>
      </w:r>
    </w:p>
    <w:p w14:paraId="7F8EA5F9" w14:textId="7453CBE7" w:rsidR="00C267CE" w:rsidRDefault="00C267CE" w:rsidP="002230CA">
      <w:pPr>
        <w:pStyle w:val="Paragrafoelenco"/>
        <w:numPr>
          <w:ilvl w:val="0"/>
          <w:numId w:val="10"/>
        </w:numPr>
        <w:spacing w:after="0" w:line="240" w:lineRule="auto"/>
        <w:ind w:hanging="11"/>
        <w:jc w:val="both"/>
        <w:rPr>
          <w:rFonts w:asciiTheme="majorBidi" w:hAnsiTheme="majorBidi" w:cstheme="majorBidi"/>
          <w:sz w:val="24"/>
          <w:szCs w:val="24"/>
        </w:rPr>
      </w:pPr>
      <w:r w:rsidRPr="002230CA">
        <w:rPr>
          <w:rFonts w:asciiTheme="majorBidi" w:hAnsiTheme="majorBidi" w:cstheme="majorBidi"/>
          <w:sz w:val="24"/>
          <w:szCs w:val="24"/>
        </w:rPr>
        <w:t>locazione finanziaria di opere pubbliche o di pubblica utilità</w:t>
      </w:r>
      <w:r w:rsidR="00491B67">
        <w:rPr>
          <w:rFonts w:asciiTheme="majorBidi" w:hAnsiTheme="majorBidi" w:cstheme="majorBidi"/>
          <w:sz w:val="24"/>
          <w:szCs w:val="24"/>
        </w:rPr>
        <w:t>.</w:t>
      </w:r>
    </w:p>
    <w:p w14:paraId="48EEF27C" w14:textId="77777777" w:rsidR="00A742CE" w:rsidRPr="00926235" w:rsidRDefault="00A742CE" w:rsidP="002230CA">
      <w:pPr>
        <w:spacing w:after="0" w:line="240" w:lineRule="auto"/>
        <w:ind w:hanging="11"/>
        <w:jc w:val="both"/>
        <w:rPr>
          <w:rFonts w:asciiTheme="majorBidi" w:hAnsiTheme="majorBidi" w:cstheme="majorBidi"/>
          <w:sz w:val="24"/>
          <w:szCs w:val="24"/>
        </w:rPr>
      </w:pPr>
    </w:p>
    <w:p w14:paraId="585F4337" w14:textId="77777777" w:rsidR="00A742CE" w:rsidRPr="00206D22" w:rsidRDefault="00A742CE" w:rsidP="00EF006B">
      <w:pPr>
        <w:spacing w:after="0" w:line="240" w:lineRule="atLeast"/>
        <w:jc w:val="both"/>
        <w:rPr>
          <w:rFonts w:asciiTheme="majorBidi" w:hAnsiTheme="majorBidi" w:cstheme="majorBidi"/>
          <w:sz w:val="24"/>
          <w:szCs w:val="24"/>
        </w:rPr>
      </w:pPr>
    </w:p>
    <w:p w14:paraId="69CBD231" w14:textId="77777777" w:rsidR="00C267CE" w:rsidRDefault="00C267CE" w:rsidP="009337D7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244FA4B9" w14:textId="1E6F06E7" w:rsidR="00E74447" w:rsidRDefault="00206D22" w:rsidP="00E74447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206D22">
        <w:rPr>
          <w:rFonts w:asciiTheme="majorBidi" w:hAnsiTheme="majorBidi" w:cstheme="majorBidi"/>
          <w:b/>
          <w:bCs/>
          <w:sz w:val="24"/>
          <w:szCs w:val="24"/>
        </w:rPr>
        <w:t xml:space="preserve">Art. </w:t>
      </w:r>
      <w:r w:rsidR="00C267CE">
        <w:rPr>
          <w:rFonts w:asciiTheme="majorBidi" w:hAnsiTheme="majorBidi" w:cstheme="majorBidi"/>
          <w:b/>
          <w:bCs/>
          <w:sz w:val="24"/>
          <w:szCs w:val="24"/>
        </w:rPr>
        <w:t>6</w:t>
      </w:r>
    </w:p>
    <w:p w14:paraId="7C67A17C" w14:textId="31EF5F93" w:rsidR="00206D22" w:rsidRPr="00206D22" w:rsidRDefault="00206D22" w:rsidP="009337D7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206D22">
        <w:rPr>
          <w:rFonts w:asciiTheme="majorBidi" w:hAnsiTheme="majorBidi" w:cstheme="majorBidi"/>
          <w:b/>
          <w:bCs/>
          <w:sz w:val="24"/>
          <w:szCs w:val="24"/>
        </w:rPr>
        <w:t xml:space="preserve"> Ripartizione della percentuale prevista dal regolamento per ciascuna tipologia di attività, quando essa è compiuta non da una singola persona, ma da due o più addetti</w:t>
      </w:r>
    </w:p>
    <w:p w14:paraId="19CB93BC" w14:textId="77777777" w:rsidR="00D0346B" w:rsidRDefault="00D0346B" w:rsidP="009337D7">
      <w:pPr>
        <w:spacing w:after="0" w:line="240" w:lineRule="atLeast"/>
        <w:jc w:val="both"/>
        <w:rPr>
          <w:rFonts w:asciiTheme="majorBidi" w:hAnsiTheme="majorBidi" w:cstheme="majorBidi"/>
          <w:sz w:val="24"/>
          <w:szCs w:val="24"/>
        </w:rPr>
      </w:pPr>
    </w:p>
    <w:p w14:paraId="5CB0150A" w14:textId="6A240436" w:rsidR="00D0346B" w:rsidRPr="00D0346B" w:rsidRDefault="00206D22" w:rsidP="00D0346B">
      <w:pPr>
        <w:pStyle w:val="Paragrafoelenco"/>
        <w:numPr>
          <w:ilvl w:val="0"/>
          <w:numId w:val="26"/>
        </w:numPr>
        <w:spacing w:after="0" w:line="240" w:lineRule="atLeast"/>
        <w:jc w:val="both"/>
        <w:rPr>
          <w:rFonts w:asciiTheme="majorBidi" w:hAnsiTheme="majorBidi" w:cstheme="majorBidi"/>
          <w:sz w:val="24"/>
          <w:szCs w:val="24"/>
        </w:rPr>
      </w:pPr>
      <w:r w:rsidRPr="00D0346B">
        <w:rPr>
          <w:rFonts w:asciiTheme="majorBidi" w:hAnsiTheme="majorBidi" w:cstheme="majorBidi"/>
          <w:sz w:val="24"/>
          <w:szCs w:val="24"/>
        </w:rPr>
        <w:t xml:space="preserve">Quando l’attività è svolta da più soggetti, la quota di incentivo prevista per ciascuna attività è ripartita </w:t>
      </w:r>
      <w:r w:rsidR="00D0346B" w:rsidRPr="00D0346B">
        <w:rPr>
          <w:rFonts w:asciiTheme="majorBidi" w:hAnsiTheme="majorBidi" w:cstheme="majorBidi"/>
          <w:sz w:val="24"/>
          <w:szCs w:val="24"/>
        </w:rPr>
        <w:t>sulla base del livello di responsabilità professionale connessa alla specifica attività da svolgersi e all’apporto richiesto ai singoli.</w:t>
      </w:r>
    </w:p>
    <w:p w14:paraId="05336020" w14:textId="139DE72F" w:rsidR="00EF006B" w:rsidRDefault="00EF006B" w:rsidP="00EF00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6461BFF7" w14:textId="36F91E5E" w:rsidR="00E70F4D" w:rsidRPr="00EE0BD0" w:rsidRDefault="00E70F4D" w:rsidP="00E70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center"/>
        <w:rPr>
          <w:rFonts w:asciiTheme="majorBidi" w:eastAsia="Times New Roman" w:hAnsiTheme="majorBidi" w:cstheme="majorBidi"/>
          <w:b/>
          <w:bCs/>
          <w:sz w:val="24"/>
          <w:szCs w:val="24"/>
          <w:lang w:eastAsia="it-IT"/>
        </w:rPr>
      </w:pPr>
      <w:r w:rsidRPr="00EE0BD0">
        <w:rPr>
          <w:rFonts w:asciiTheme="majorBidi" w:eastAsia="Times New Roman" w:hAnsiTheme="majorBidi" w:cstheme="majorBidi"/>
          <w:b/>
          <w:bCs/>
          <w:sz w:val="24"/>
          <w:szCs w:val="24"/>
          <w:lang w:eastAsia="it-IT"/>
        </w:rPr>
        <w:t xml:space="preserve">Art. </w:t>
      </w:r>
      <w:r>
        <w:rPr>
          <w:rFonts w:asciiTheme="majorBidi" w:eastAsia="Times New Roman" w:hAnsiTheme="majorBidi" w:cstheme="majorBidi"/>
          <w:b/>
          <w:bCs/>
          <w:sz w:val="24"/>
          <w:szCs w:val="24"/>
          <w:lang w:eastAsia="it-IT"/>
        </w:rPr>
        <w:t>7</w:t>
      </w:r>
    </w:p>
    <w:p w14:paraId="150E552D" w14:textId="77777777" w:rsidR="00E70F4D" w:rsidRDefault="00E70F4D" w:rsidP="00E70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center"/>
        <w:rPr>
          <w:rFonts w:asciiTheme="majorBidi" w:eastAsia="Times New Roman" w:hAnsiTheme="majorBidi" w:cstheme="majorBidi"/>
          <w:b/>
          <w:bCs/>
          <w:sz w:val="24"/>
          <w:szCs w:val="24"/>
          <w:lang w:eastAsia="it-IT"/>
        </w:rPr>
      </w:pPr>
      <w:r w:rsidRPr="00EE0BD0">
        <w:rPr>
          <w:rFonts w:asciiTheme="majorBidi" w:eastAsia="Times New Roman" w:hAnsiTheme="majorBidi" w:cstheme="majorBidi"/>
          <w:b/>
          <w:bCs/>
          <w:sz w:val="24"/>
          <w:szCs w:val="24"/>
          <w:lang w:eastAsia="it-IT"/>
        </w:rPr>
        <w:t>Incentivo per l’attività di verifica preventiva del progetto</w:t>
      </w:r>
    </w:p>
    <w:p w14:paraId="693524CD" w14:textId="77777777" w:rsidR="00E74447" w:rsidRPr="00EE0BD0" w:rsidRDefault="00E74447" w:rsidP="00E70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center"/>
        <w:rPr>
          <w:rFonts w:asciiTheme="majorBidi" w:eastAsia="Times New Roman" w:hAnsiTheme="majorBidi" w:cstheme="majorBidi"/>
          <w:b/>
          <w:bCs/>
          <w:sz w:val="24"/>
          <w:szCs w:val="24"/>
          <w:lang w:eastAsia="it-IT"/>
        </w:rPr>
      </w:pPr>
    </w:p>
    <w:p w14:paraId="03E584A1" w14:textId="33A971FA" w:rsidR="00DA77A5" w:rsidRPr="00DA77A5" w:rsidRDefault="00E70F4D" w:rsidP="00DA77A5">
      <w:pPr>
        <w:pStyle w:val="Paragrafoelenco"/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E70F4D">
        <w:rPr>
          <w:rFonts w:asciiTheme="majorBidi" w:eastAsia="Times New Roman" w:hAnsiTheme="majorBidi" w:cstheme="majorBidi"/>
          <w:sz w:val="24"/>
          <w:szCs w:val="24"/>
          <w:lang w:eastAsia="it-IT"/>
        </w:rPr>
        <w:t xml:space="preserve">Quando la verifica preventiva è di competenza del RUP e </w:t>
      </w:r>
      <w:r>
        <w:rPr>
          <w:rFonts w:asciiTheme="majorBidi" w:eastAsia="Times New Roman" w:hAnsiTheme="majorBidi" w:cstheme="majorBidi"/>
          <w:sz w:val="24"/>
          <w:szCs w:val="24"/>
          <w:lang w:eastAsia="it-IT"/>
        </w:rPr>
        <w:t xml:space="preserve">richiede l’ausilio del parere </w:t>
      </w:r>
      <w:r w:rsidRPr="00E70F4D">
        <w:rPr>
          <w:rFonts w:asciiTheme="majorBidi" w:eastAsia="Times New Roman" w:hAnsiTheme="majorBidi" w:cstheme="majorBidi"/>
          <w:sz w:val="24"/>
          <w:szCs w:val="24"/>
          <w:lang w:eastAsia="it-IT"/>
        </w:rPr>
        <w:t xml:space="preserve">tecnico della struttura di supporto istituita ai sensi dell’art. 31 d. lgs. 50/2016, la quota di incentivo è </w:t>
      </w:r>
      <w:r>
        <w:rPr>
          <w:rFonts w:asciiTheme="majorBidi" w:eastAsia="Times New Roman" w:hAnsiTheme="majorBidi" w:cstheme="majorBidi"/>
          <w:sz w:val="24"/>
          <w:szCs w:val="24"/>
          <w:lang w:eastAsia="it-IT"/>
        </w:rPr>
        <w:t xml:space="preserve">suddivisa </w:t>
      </w:r>
      <w:r w:rsidR="00DA77A5">
        <w:rPr>
          <w:rFonts w:asciiTheme="majorBidi" w:eastAsia="Times New Roman" w:hAnsiTheme="majorBidi" w:cstheme="majorBidi"/>
          <w:sz w:val="24"/>
          <w:szCs w:val="24"/>
          <w:lang w:eastAsia="it-IT"/>
        </w:rPr>
        <w:t>in parti uguali</w:t>
      </w:r>
      <w:r w:rsidR="002230CA">
        <w:rPr>
          <w:rFonts w:asciiTheme="majorBidi" w:eastAsia="Times New Roman" w:hAnsiTheme="majorBidi" w:cstheme="majorBidi"/>
          <w:sz w:val="24"/>
          <w:szCs w:val="24"/>
          <w:lang w:eastAsia="it-IT"/>
        </w:rPr>
        <w:t>.</w:t>
      </w:r>
    </w:p>
    <w:p w14:paraId="0E1FB6D9" w14:textId="77777777" w:rsidR="00DA77A5" w:rsidRDefault="00DA77A5" w:rsidP="00DA77A5">
      <w:pPr>
        <w:pStyle w:val="Paragrafoelenco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Theme="majorBidi" w:eastAsia="Times New Roman" w:hAnsiTheme="majorBidi" w:cstheme="majorBidi"/>
          <w:sz w:val="24"/>
          <w:szCs w:val="24"/>
          <w:lang w:eastAsia="it-IT"/>
        </w:rPr>
      </w:pPr>
    </w:p>
    <w:p w14:paraId="7CE011EF" w14:textId="77777777" w:rsidR="00DA77A5" w:rsidRDefault="00DA77A5" w:rsidP="00DA77A5">
      <w:pPr>
        <w:pStyle w:val="Paragrafoelenco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Theme="majorBidi" w:eastAsia="Times New Roman" w:hAnsiTheme="majorBidi" w:cstheme="majorBidi"/>
          <w:sz w:val="24"/>
          <w:szCs w:val="24"/>
          <w:lang w:eastAsia="it-IT"/>
        </w:rPr>
      </w:pPr>
    </w:p>
    <w:p w14:paraId="3D6A15C5" w14:textId="71B66225" w:rsidR="001E6BE8" w:rsidRDefault="001E6BE8" w:rsidP="002230CA">
      <w:pPr>
        <w:pStyle w:val="Paragrafoelenco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Art. </w:t>
      </w:r>
      <w:r w:rsidR="00E70F4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8</w:t>
      </w:r>
    </w:p>
    <w:p w14:paraId="4BFE603F" w14:textId="009CC018" w:rsidR="0021596D" w:rsidRDefault="001E6BE8" w:rsidP="00223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Ricalcolo del fondo in caso di varianti in corso d’opera in aumento</w:t>
      </w:r>
    </w:p>
    <w:p w14:paraId="4D7BC7F9" w14:textId="06865053" w:rsidR="00C267CE" w:rsidRDefault="0021596D" w:rsidP="00223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o</w:t>
      </w:r>
      <w:r w:rsidR="001E6BE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in caso di interventi complementari 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di </w:t>
      </w:r>
      <w:r w:rsidR="001E6BE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aumento di quinto</w:t>
      </w:r>
    </w:p>
    <w:p w14:paraId="299B3B07" w14:textId="77777777" w:rsidR="002230CA" w:rsidRDefault="002230CA" w:rsidP="00223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2BE6DC54" w14:textId="31BCB0EC" w:rsidR="00C267CE" w:rsidRPr="002230CA" w:rsidRDefault="001E6BE8" w:rsidP="002230CA">
      <w:pPr>
        <w:pStyle w:val="Paragrafoelenco"/>
        <w:numPr>
          <w:ilvl w:val="0"/>
          <w:numId w:val="27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2159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Come previsto dall’art. 1, comma 3, secondo periodo, del </w:t>
      </w:r>
      <w:r w:rsidR="00E74447">
        <w:rPr>
          <w:rFonts w:ascii="Times New Roman" w:eastAsia="Times New Roman" w:hAnsi="Times New Roman" w:cs="Times New Roman"/>
          <w:sz w:val="24"/>
          <w:szCs w:val="24"/>
          <w:lang w:eastAsia="it-IT"/>
        </w:rPr>
        <w:t>Regolamento</w:t>
      </w:r>
      <w:r w:rsidRPr="002159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="002230C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 caso di varianti in corso d’opera in aumento o in caso di interventi complementari o di aumento di quinto, </w:t>
      </w:r>
      <w:r w:rsidRPr="0021596D">
        <w:rPr>
          <w:rFonts w:asciiTheme="majorBidi" w:hAnsiTheme="majorBidi" w:cstheme="majorBidi"/>
          <w:sz w:val="24"/>
          <w:szCs w:val="24"/>
        </w:rPr>
        <w:t>l’incentivo è determinato in riferimento al nuovo importo lordo del contratto di appalto.</w:t>
      </w:r>
    </w:p>
    <w:p w14:paraId="46165F8E" w14:textId="02C33F37" w:rsidR="00C267CE" w:rsidRPr="00F52090" w:rsidRDefault="00C267CE" w:rsidP="00C267CE">
      <w:pPr>
        <w:spacing w:after="0" w:line="240" w:lineRule="atLeast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F52090">
        <w:rPr>
          <w:rFonts w:asciiTheme="majorBidi" w:hAnsiTheme="majorBidi" w:cstheme="majorBidi"/>
          <w:b/>
          <w:bCs/>
          <w:sz w:val="24"/>
          <w:szCs w:val="24"/>
        </w:rPr>
        <w:t xml:space="preserve">Art. </w:t>
      </w:r>
      <w:r w:rsidR="00E70F4D">
        <w:rPr>
          <w:rFonts w:asciiTheme="majorBidi" w:hAnsiTheme="majorBidi" w:cstheme="majorBidi"/>
          <w:b/>
          <w:bCs/>
          <w:sz w:val="24"/>
          <w:szCs w:val="24"/>
        </w:rPr>
        <w:t>9</w:t>
      </w:r>
    </w:p>
    <w:p w14:paraId="635CA087" w14:textId="77777777" w:rsidR="00C267CE" w:rsidRPr="00F52090" w:rsidRDefault="00C267CE" w:rsidP="00C267CE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F52090">
        <w:rPr>
          <w:rFonts w:asciiTheme="majorBidi" w:hAnsiTheme="majorBidi" w:cstheme="majorBidi"/>
          <w:b/>
          <w:bCs/>
          <w:sz w:val="24"/>
          <w:szCs w:val="24"/>
        </w:rPr>
        <w:t>Riduzione dell’incentivo per il caso di incremento dei tempi o dei costi previsti</w:t>
      </w:r>
    </w:p>
    <w:p w14:paraId="738741FE" w14:textId="77777777" w:rsidR="00C267CE" w:rsidRDefault="00C267CE" w:rsidP="00C267CE">
      <w:pPr>
        <w:spacing w:after="0" w:line="240" w:lineRule="atLeast"/>
        <w:jc w:val="both"/>
        <w:rPr>
          <w:rFonts w:asciiTheme="majorBidi" w:hAnsiTheme="majorBidi" w:cstheme="majorBidi"/>
          <w:sz w:val="24"/>
          <w:szCs w:val="24"/>
        </w:rPr>
      </w:pPr>
    </w:p>
    <w:p w14:paraId="26FB9D25" w14:textId="58300C13" w:rsidR="00C267CE" w:rsidRDefault="00C267CE" w:rsidP="00C267CE">
      <w:pPr>
        <w:pStyle w:val="Paragrafoelenco"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Theme="majorBidi" w:hAnsiTheme="majorBidi" w:cstheme="majorBidi"/>
          <w:sz w:val="24"/>
          <w:szCs w:val="24"/>
        </w:rPr>
      </w:pPr>
      <w:r w:rsidRPr="0021596D">
        <w:rPr>
          <w:rFonts w:asciiTheme="majorBidi" w:hAnsiTheme="majorBidi" w:cstheme="majorBidi"/>
          <w:sz w:val="24"/>
          <w:szCs w:val="24"/>
        </w:rPr>
        <w:t xml:space="preserve">Nel caso di incremento dei costi </w:t>
      </w:r>
      <w:r>
        <w:rPr>
          <w:rFonts w:asciiTheme="majorBidi" w:hAnsiTheme="majorBidi" w:cstheme="majorBidi"/>
          <w:sz w:val="24"/>
          <w:szCs w:val="24"/>
        </w:rPr>
        <w:t xml:space="preserve">determinati da condotte imputabili ai destinatari </w:t>
      </w:r>
      <w:proofErr w:type="gramStart"/>
      <w:r>
        <w:rPr>
          <w:rFonts w:asciiTheme="majorBidi" w:hAnsiTheme="majorBidi" w:cstheme="majorBidi"/>
          <w:sz w:val="24"/>
          <w:szCs w:val="24"/>
        </w:rPr>
        <w:t>dell’incentivo</w:t>
      </w:r>
      <w:r w:rsidRPr="0021596D">
        <w:rPr>
          <w:rFonts w:asciiTheme="majorBidi" w:hAnsiTheme="majorBidi" w:cstheme="majorBidi"/>
          <w:sz w:val="24"/>
          <w:szCs w:val="24"/>
        </w:rPr>
        <w:t>,  la</w:t>
      </w:r>
      <w:proofErr w:type="gramEnd"/>
      <w:r w:rsidRPr="0021596D">
        <w:rPr>
          <w:rFonts w:asciiTheme="majorBidi" w:hAnsiTheme="majorBidi" w:cstheme="majorBidi"/>
          <w:sz w:val="24"/>
          <w:szCs w:val="24"/>
        </w:rPr>
        <w:t xml:space="preserve"> riduzione viene calcolata in misura pari alla percentuale di  aumento dei costi rispetto all'importo originario di aggiudicazione. </w:t>
      </w:r>
    </w:p>
    <w:p w14:paraId="1DC84F43" w14:textId="2468A084" w:rsidR="00C267CE" w:rsidRPr="0021596D" w:rsidRDefault="00C267CE" w:rsidP="00C267CE">
      <w:pPr>
        <w:pStyle w:val="Paragrafoelenco"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Theme="majorBidi" w:hAnsiTheme="majorBidi" w:cstheme="majorBidi"/>
          <w:sz w:val="24"/>
          <w:szCs w:val="24"/>
        </w:rPr>
      </w:pPr>
      <w:r w:rsidRPr="0021596D">
        <w:rPr>
          <w:rFonts w:asciiTheme="majorBidi" w:hAnsiTheme="majorBidi" w:cstheme="majorBidi"/>
          <w:sz w:val="24"/>
          <w:szCs w:val="24"/>
        </w:rPr>
        <w:lastRenderedPageBreak/>
        <w:t>Nel caso di incremento dei tempi</w:t>
      </w:r>
      <w:r>
        <w:rPr>
          <w:rFonts w:asciiTheme="majorBidi" w:hAnsiTheme="majorBidi" w:cstheme="majorBidi"/>
          <w:sz w:val="24"/>
          <w:szCs w:val="24"/>
        </w:rPr>
        <w:t xml:space="preserve"> determinati da condotte imputabili ai destinatari </w:t>
      </w:r>
      <w:proofErr w:type="gramStart"/>
      <w:r>
        <w:rPr>
          <w:rFonts w:asciiTheme="majorBidi" w:hAnsiTheme="majorBidi" w:cstheme="majorBidi"/>
          <w:sz w:val="24"/>
          <w:szCs w:val="24"/>
        </w:rPr>
        <w:t>dell’incentivo</w:t>
      </w:r>
      <w:r w:rsidRPr="0021596D">
        <w:rPr>
          <w:rFonts w:asciiTheme="majorBidi" w:hAnsiTheme="majorBidi" w:cstheme="majorBidi"/>
          <w:sz w:val="24"/>
          <w:szCs w:val="24"/>
        </w:rPr>
        <w:t xml:space="preserve"> ,</w:t>
      </w:r>
      <w:proofErr w:type="gramEnd"/>
      <w:r w:rsidRPr="0021596D">
        <w:rPr>
          <w:rFonts w:asciiTheme="majorBidi" w:hAnsiTheme="majorBidi" w:cstheme="majorBidi"/>
          <w:sz w:val="24"/>
          <w:szCs w:val="24"/>
        </w:rPr>
        <w:t xml:space="preserve">  la riduzione  viene  calcolata  in  misura  pari  alla  percentuale   di incremento dei tempi. Nell'incremento dei tempi non sono considerate le sospensioni di cui </w:t>
      </w:r>
      <w:proofErr w:type="gramStart"/>
      <w:r w:rsidRPr="0021596D">
        <w:rPr>
          <w:rFonts w:asciiTheme="majorBidi" w:hAnsiTheme="majorBidi" w:cstheme="majorBidi"/>
          <w:sz w:val="24"/>
          <w:szCs w:val="24"/>
        </w:rPr>
        <w:t>all'articolo  107</w:t>
      </w:r>
      <w:proofErr w:type="gramEnd"/>
      <w:r w:rsidRPr="0021596D">
        <w:rPr>
          <w:rFonts w:asciiTheme="majorBidi" w:hAnsiTheme="majorBidi" w:cstheme="majorBidi"/>
          <w:sz w:val="24"/>
          <w:szCs w:val="24"/>
        </w:rPr>
        <w:t xml:space="preserve">  </w:t>
      </w:r>
      <w:r>
        <w:rPr>
          <w:rFonts w:asciiTheme="majorBidi" w:hAnsiTheme="majorBidi" w:cstheme="majorBidi"/>
          <w:sz w:val="24"/>
          <w:szCs w:val="24"/>
        </w:rPr>
        <w:t xml:space="preserve">del D. Lgs. 50/2016 </w:t>
      </w:r>
      <w:r w:rsidRPr="0021596D">
        <w:rPr>
          <w:rFonts w:asciiTheme="majorBidi" w:hAnsiTheme="majorBidi" w:cstheme="majorBidi"/>
          <w:sz w:val="24"/>
          <w:szCs w:val="24"/>
        </w:rPr>
        <w:t>nonché i ritardi imputabili esclusivamente all'impresa appaltatrice</w:t>
      </w:r>
      <w:r w:rsidRPr="0021596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.</w:t>
      </w:r>
    </w:p>
    <w:p w14:paraId="748FA769" w14:textId="77777777" w:rsidR="00C267CE" w:rsidRDefault="00C267CE" w:rsidP="00C267CE">
      <w:pPr>
        <w:jc w:val="both"/>
        <w:rPr>
          <w:rFonts w:asciiTheme="majorBidi" w:hAnsiTheme="majorBidi" w:cstheme="majorBidi"/>
          <w:sz w:val="24"/>
          <w:szCs w:val="24"/>
        </w:rPr>
      </w:pPr>
    </w:p>
    <w:p w14:paraId="3E6DBEE0" w14:textId="358E1674" w:rsidR="00C267CE" w:rsidRPr="00F52090" w:rsidRDefault="00C267CE" w:rsidP="00C267CE">
      <w:pPr>
        <w:spacing w:after="0" w:line="240" w:lineRule="atLeast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F52090">
        <w:rPr>
          <w:rFonts w:asciiTheme="majorBidi" w:hAnsiTheme="majorBidi" w:cstheme="majorBidi"/>
          <w:b/>
          <w:bCs/>
          <w:sz w:val="24"/>
          <w:szCs w:val="24"/>
        </w:rPr>
        <w:t xml:space="preserve">Art. </w:t>
      </w:r>
      <w:r w:rsidR="00E70F4D">
        <w:rPr>
          <w:rFonts w:asciiTheme="majorBidi" w:hAnsiTheme="majorBidi" w:cstheme="majorBidi"/>
          <w:b/>
          <w:bCs/>
          <w:sz w:val="24"/>
          <w:szCs w:val="24"/>
        </w:rPr>
        <w:t>10</w:t>
      </w:r>
    </w:p>
    <w:p w14:paraId="13406A53" w14:textId="77777777" w:rsidR="00C267CE" w:rsidRDefault="00C267CE" w:rsidP="00C267CE">
      <w:pPr>
        <w:spacing w:after="0" w:line="240" w:lineRule="atLeast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F52090">
        <w:rPr>
          <w:rFonts w:asciiTheme="majorBidi" w:hAnsiTheme="majorBidi" w:cstheme="majorBidi"/>
          <w:b/>
          <w:bCs/>
          <w:sz w:val="24"/>
          <w:szCs w:val="24"/>
        </w:rPr>
        <w:t>Procedure interrotte</w:t>
      </w:r>
    </w:p>
    <w:p w14:paraId="164442E2" w14:textId="77777777" w:rsidR="00E74447" w:rsidRPr="00F52090" w:rsidRDefault="00E74447" w:rsidP="00C267CE">
      <w:pPr>
        <w:spacing w:after="0" w:line="240" w:lineRule="atLeast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483F3BA6" w14:textId="54744F48" w:rsidR="00C778CC" w:rsidRPr="00C778CC" w:rsidRDefault="00C778CC" w:rsidP="00C778CC">
      <w:pPr>
        <w:pStyle w:val="PreformattatoHTML"/>
        <w:numPr>
          <w:ilvl w:val="0"/>
          <w:numId w:val="47"/>
        </w:numPr>
        <w:shd w:val="clear" w:color="auto" w:fill="FFFFFF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C778CC">
        <w:rPr>
          <w:rFonts w:asciiTheme="majorBidi" w:hAnsiTheme="majorBidi" w:cstheme="majorBidi"/>
          <w:sz w:val="24"/>
          <w:szCs w:val="24"/>
        </w:rPr>
        <w:t>Quando  il</w:t>
      </w:r>
      <w:proofErr w:type="gramEnd"/>
      <w:r w:rsidRPr="00C778CC">
        <w:rPr>
          <w:rFonts w:asciiTheme="majorBidi" w:hAnsiTheme="majorBidi" w:cstheme="majorBidi"/>
          <w:sz w:val="24"/>
          <w:szCs w:val="24"/>
        </w:rPr>
        <w:t xml:space="preserve">  procedimento  relativo  all'appalto  si  interrompe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C778CC">
        <w:rPr>
          <w:rFonts w:asciiTheme="majorBidi" w:hAnsiTheme="majorBidi" w:cstheme="majorBidi"/>
          <w:sz w:val="24"/>
          <w:szCs w:val="24"/>
        </w:rPr>
        <w:t xml:space="preserve">definitivamente per cause non imputabili al dipendente, </w:t>
      </w:r>
      <w:proofErr w:type="spellStart"/>
      <w:r w:rsidRPr="00C778CC">
        <w:rPr>
          <w:rFonts w:asciiTheme="majorBidi" w:hAnsiTheme="majorBidi" w:cstheme="majorBidi"/>
          <w:sz w:val="24"/>
          <w:szCs w:val="24"/>
        </w:rPr>
        <w:t>purch</w:t>
      </w:r>
      <w:r>
        <w:rPr>
          <w:rFonts w:asciiTheme="majorBidi" w:hAnsiTheme="majorBidi" w:cstheme="majorBidi"/>
          <w:sz w:val="24"/>
          <w:szCs w:val="24"/>
        </w:rPr>
        <w:t>è</w:t>
      </w:r>
      <w:proofErr w:type="spellEnd"/>
      <w:r w:rsidRPr="00C778CC">
        <w:rPr>
          <w:rFonts w:asciiTheme="majorBidi" w:hAnsiTheme="majorBidi" w:cstheme="majorBidi"/>
          <w:sz w:val="24"/>
          <w:szCs w:val="24"/>
        </w:rPr>
        <w:t xml:space="preserve"> in un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C778CC">
        <w:rPr>
          <w:rFonts w:asciiTheme="majorBidi" w:hAnsiTheme="majorBidi" w:cstheme="majorBidi"/>
          <w:sz w:val="24"/>
          <w:szCs w:val="24"/>
        </w:rPr>
        <w:t>momento  successivo   al   perfezionamento   del   provvedimento   di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C778CC">
        <w:rPr>
          <w:rFonts w:asciiTheme="majorBidi" w:hAnsiTheme="majorBidi" w:cstheme="majorBidi"/>
          <w:sz w:val="24"/>
          <w:szCs w:val="24"/>
        </w:rPr>
        <w:t xml:space="preserve">approvazione del contratto, il compenso incentivante  </w:t>
      </w:r>
      <w:proofErr w:type="spellStart"/>
      <w:r w:rsidRPr="00C778CC">
        <w:rPr>
          <w:rFonts w:asciiTheme="majorBidi" w:hAnsiTheme="majorBidi" w:cstheme="majorBidi"/>
          <w:sz w:val="24"/>
          <w:szCs w:val="24"/>
        </w:rPr>
        <w:t>e'</w:t>
      </w:r>
      <w:proofErr w:type="spellEnd"/>
      <w:r w:rsidRPr="00C778CC">
        <w:rPr>
          <w:rFonts w:asciiTheme="majorBidi" w:hAnsiTheme="majorBidi" w:cstheme="majorBidi"/>
          <w:sz w:val="24"/>
          <w:szCs w:val="24"/>
        </w:rPr>
        <w:t xml:space="preserve">  corrisposto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C778CC">
        <w:rPr>
          <w:rFonts w:asciiTheme="majorBidi" w:hAnsiTheme="majorBidi" w:cstheme="majorBidi"/>
          <w:sz w:val="24"/>
          <w:szCs w:val="24"/>
        </w:rPr>
        <w:t>proporzionalmente solo per le attivit</w:t>
      </w:r>
      <w:r>
        <w:rPr>
          <w:rFonts w:asciiTheme="majorBidi" w:hAnsiTheme="majorBidi" w:cstheme="majorBidi"/>
          <w:sz w:val="24"/>
          <w:szCs w:val="24"/>
        </w:rPr>
        <w:t>à</w:t>
      </w:r>
      <w:r w:rsidRPr="00C778CC">
        <w:rPr>
          <w:rFonts w:asciiTheme="majorBidi" w:hAnsiTheme="majorBidi" w:cstheme="majorBidi"/>
          <w:sz w:val="24"/>
          <w:szCs w:val="24"/>
        </w:rPr>
        <w:t xml:space="preserve">  espletate  e  accertate  dal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C778CC">
        <w:rPr>
          <w:rFonts w:asciiTheme="majorBidi" w:hAnsiTheme="majorBidi" w:cstheme="majorBidi"/>
          <w:sz w:val="24"/>
          <w:szCs w:val="24"/>
        </w:rPr>
        <w:t>responsabile del procedimento.</w:t>
      </w:r>
    </w:p>
    <w:p w14:paraId="34BB6673" w14:textId="77777777" w:rsidR="00C778CC" w:rsidRDefault="00C778CC" w:rsidP="0015749B">
      <w:pPr>
        <w:spacing w:after="0" w:line="240" w:lineRule="atLeast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35C98C13" w14:textId="0E141D79" w:rsidR="0015749B" w:rsidRDefault="0015749B" w:rsidP="0015749B">
      <w:pPr>
        <w:spacing w:after="0" w:line="240" w:lineRule="atLeast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Art. </w:t>
      </w:r>
      <w:r w:rsidR="002230CA">
        <w:rPr>
          <w:rFonts w:asciiTheme="majorBidi" w:hAnsiTheme="majorBidi" w:cstheme="majorBidi"/>
          <w:b/>
          <w:bCs/>
          <w:sz w:val="24"/>
          <w:szCs w:val="24"/>
        </w:rPr>
        <w:t>11</w:t>
      </w:r>
    </w:p>
    <w:p w14:paraId="365DC627" w14:textId="77777777" w:rsidR="00C778CC" w:rsidRDefault="0015749B" w:rsidP="00C778CC">
      <w:pPr>
        <w:spacing w:after="0" w:line="240" w:lineRule="atLeast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2230CA">
        <w:rPr>
          <w:rFonts w:asciiTheme="majorBidi" w:hAnsiTheme="majorBidi" w:cstheme="majorBidi"/>
          <w:b/>
          <w:bCs/>
          <w:sz w:val="24"/>
          <w:szCs w:val="24"/>
        </w:rPr>
        <w:t>Certificato di regolare esecuzione</w:t>
      </w:r>
    </w:p>
    <w:p w14:paraId="73EF136F" w14:textId="1CBECB38" w:rsidR="0015749B" w:rsidRDefault="0015749B" w:rsidP="00C778CC">
      <w:pPr>
        <w:pStyle w:val="Paragrafoelenco"/>
        <w:numPr>
          <w:ilvl w:val="0"/>
          <w:numId w:val="46"/>
        </w:numPr>
        <w:spacing w:after="0" w:line="240" w:lineRule="atLeast"/>
        <w:jc w:val="both"/>
        <w:rPr>
          <w:rFonts w:asciiTheme="majorBidi" w:hAnsiTheme="majorBidi" w:cstheme="majorBidi"/>
          <w:sz w:val="24"/>
          <w:szCs w:val="24"/>
        </w:rPr>
      </w:pPr>
      <w:r w:rsidRPr="00C778CC">
        <w:rPr>
          <w:rFonts w:asciiTheme="majorBidi" w:hAnsiTheme="majorBidi" w:cstheme="majorBidi"/>
          <w:sz w:val="24"/>
          <w:szCs w:val="24"/>
        </w:rPr>
        <w:t xml:space="preserve">All’attività necessaria per emettere il certificato di regolare esecuzione </w:t>
      </w:r>
      <w:r w:rsidR="002230CA" w:rsidRPr="00C778CC">
        <w:rPr>
          <w:rFonts w:asciiTheme="majorBidi" w:hAnsiTheme="majorBidi" w:cstheme="majorBidi"/>
          <w:sz w:val="24"/>
          <w:szCs w:val="24"/>
        </w:rPr>
        <w:t>è</w:t>
      </w:r>
      <w:r w:rsidRPr="00C778CC">
        <w:rPr>
          <w:rFonts w:asciiTheme="majorBidi" w:hAnsiTheme="majorBidi" w:cstheme="majorBidi"/>
          <w:sz w:val="24"/>
          <w:szCs w:val="24"/>
        </w:rPr>
        <w:t xml:space="preserve"> riconosciuto l’incentivo previsto per il collaudo</w:t>
      </w:r>
      <w:r w:rsidR="00C778CC">
        <w:rPr>
          <w:rFonts w:asciiTheme="majorBidi" w:hAnsiTheme="majorBidi" w:cstheme="majorBidi"/>
          <w:sz w:val="24"/>
          <w:szCs w:val="24"/>
        </w:rPr>
        <w:t xml:space="preserve"> o per la verifica di conformità</w:t>
      </w:r>
      <w:r w:rsidR="007E405E" w:rsidRPr="00C778CC">
        <w:rPr>
          <w:rFonts w:asciiTheme="majorBidi" w:hAnsiTheme="majorBidi" w:cstheme="majorBidi"/>
          <w:sz w:val="24"/>
          <w:szCs w:val="24"/>
        </w:rPr>
        <w:t>.</w:t>
      </w:r>
    </w:p>
    <w:p w14:paraId="7A83B310" w14:textId="77777777" w:rsidR="00C778CC" w:rsidRPr="00C778CC" w:rsidRDefault="00C778CC" w:rsidP="00C778CC">
      <w:pPr>
        <w:pStyle w:val="Paragrafoelenco"/>
        <w:spacing w:after="0" w:line="240" w:lineRule="atLeast"/>
        <w:jc w:val="both"/>
        <w:rPr>
          <w:rFonts w:asciiTheme="majorBidi" w:hAnsiTheme="majorBidi" w:cstheme="majorBidi"/>
          <w:sz w:val="24"/>
          <w:szCs w:val="24"/>
        </w:rPr>
      </w:pPr>
    </w:p>
    <w:p w14:paraId="039E1C29" w14:textId="1DE7DD5A" w:rsidR="00B474F0" w:rsidRDefault="00B474F0" w:rsidP="00F52090">
      <w:pPr>
        <w:spacing w:after="0" w:line="240" w:lineRule="atLeast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Art. </w:t>
      </w:r>
      <w:r w:rsidR="00C267CE">
        <w:rPr>
          <w:rFonts w:asciiTheme="majorBidi" w:hAnsiTheme="majorBidi" w:cstheme="majorBidi"/>
          <w:b/>
          <w:bCs/>
          <w:sz w:val="24"/>
          <w:szCs w:val="24"/>
        </w:rPr>
        <w:t>1</w:t>
      </w:r>
      <w:r w:rsidR="007E405E">
        <w:rPr>
          <w:rFonts w:asciiTheme="majorBidi" w:hAnsiTheme="majorBidi" w:cstheme="majorBidi"/>
          <w:b/>
          <w:bCs/>
          <w:sz w:val="24"/>
          <w:szCs w:val="24"/>
        </w:rPr>
        <w:t>2</w:t>
      </w:r>
    </w:p>
    <w:p w14:paraId="25FB4745" w14:textId="1A6FD7AC" w:rsidR="00B474F0" w:rsidRDefault="00B474F0" w:rsidP="00F52090">
      <w:pPr>
        <w:spacing w:after="0" w:line="240" w:lineRule="atLeast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Criteri di erogazione dell’incentivo </w:t>
      </w:r>
    </w:p>
    <w:p w14:paraId="1277E5A5" w14:textId="77777777" w:rsidR="00B474F0" w:rsidRDefault="00B474F0" w:rsidP="00F52090">
      <w:pPr>
        <w:spacing w:after="0" w:line="240" w:lineRule="atLeast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4562E80D" w14:textId="72F8F46A" w:rsidR="00503CCB" w:rsidRDefault="00503CCB" w:rsidP="00503CCB">
      <w:pPr>
        <w:pStyle w:val="Paragrafoelenco"/>
        <w:numPr>
          <w:ilvl w:val="0"/>
          <w:numId w:val="3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Theme="majorBidi" w:hAnsiTheme="majorBidi" w:cstheme="majorBidi"/>
          <w:sz w:val="24"/>
          <w:szCs w:val="24"/>
        </w:rPr>
      </w:pPr>
      <w:r w:rsidRPr="00503CCB">
        <w:rPr>
          <w:rFonts w:asciiTheme="majorBidi" w:hAnsiTheme="majorBidi" w:cstheme="majorBidi"/>
          <w:sz w:val="24"/>
          <w:szCs w:val="24"/>
        </w:rPr>
        <w:t xml:space="preserve">Il diritto al compenso incentivante </w:t>
      </w:r>
      <w:r w:rsidR="002230CA">
        <w:rPr>
          <w:rFonts w:asciiTheme="majorBidi" w:hAnsiTheme="majorBidi" w:cstheme="majorBidi"/>
          <w:sz w:val="24"/>
          <w:szCs w:val="24"/>
        </w:rPr>
        <w:t>è riconosciuto</w:t>
      </w:r>
      <w:r w:rsidRPr="00503CCB">
        <w:rPr>
          <w:rFonts w:asciiTheme="majorBidi" w:hAnsiTheme="majorBidi" w:cstheme="majorBidi"/>
          <w:sz w:val="24"/>
          <w:szCs w:val="24"/>
        </w:rPr>
        <w:t xml:space="preserve">: </w:t>
      </w:r>
    </w:p>
    <w:p w14:paraId="50D87941" w14:textId="77777777" w:rsidR="00503CCB" w:rsidRDefault="00503CCB" w:rsidP="00503CCB">
      <w:pPr>
        <w:pStyle w:val="Paragrafoelenco"/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Theme="majorBidi" w:hAnsiTheme="majorBidi" w:cstheme="majorBidi"/>
          <w:sz w:val="24"/>
          <w:szCs w:val="24"/>
        </w:rPr>
      </w:pPr>
      <w:r w:rsidRPr="00503CCB">
        <w:rPr>
          <w:rFonts w:asciiTheme="majorBidi" w:hAnsiTheme="majorBidi" w:cstheme="majorBidi"/>
          <w:sz w:val="24"/>
          <w:szCs w:val="24"/>
        </w:rPr>
        <w:t xml:space="preserve">per le </w:t>
      </w:r>
      <w:proofErr w:type="spellStart"/>
      <w:r w:rsidRPr="00503CCB">
        <w:rPr>
          <w:rFonts w:asciiTheme="majorBidi" w:hAnsiTheme="majorBidi" w:cstheme="majorBidi"/>
          <w:sz w:val="24"/>
          <w:szCs w:val="24"/>
        </w:rPr>
        <w:t>attivita'</w:t>
      </w:r>
      <w:proofErr w:type="spellEnd"/>
      <w:r w:rsidRPr="00503CCB">
        <w:rPr>
          <w:rFonts w:asciiTheme="majorBidi" w:hAnsiTheme="majorBidi" w:cstheme="majorBidi"/>
          <w:sz w:val="24"/>
          <w:szCs w:val="24"/>
        </w:rPr>
        <w:t xml:space="preserve"> di programmazione della spesa per investimenti, valutazione preventiva dei </w:t>
      </w:r>
      <w:proofErr w:type="gramStart"/>
      <w:r w:rsidRPr="00503CCB">
        <w:rPr>
          <w:rFonts w:asciiTheme="majorBidi" w:hAnsiTheme="majorBidi" w:cstheme="majorBidi"/>
          <w:sz w:val="24"/>
          <w:szCs w:val="24"/>
        </w:rPr>
        <w:t>progetti  e</w:t>
      </w:r>
      <w:proofErr w:type="gramEnd"/>
      <w:r w:rsidRPr="00503CCB">
        <w:rPr>
          <w:rFonts w:asciiTheme="majorBidi" w:hAnsiTheme="majorBidi" w:cstheme="majorBidi"/>
          <w:sz w:val="24"/>
          <w:szCs w:val="24"/>
        </w:rPr>
        <w:t xml:space="preserve">  predisposizione  e  controllo delle procedure di gara: alla data di perfezionamento del contratto; </w:t>
      </w:r>
    </w:p>
    <w:p w14:paraId="3966F144" w14:textId="77777777" w:rsidR="00503CCB" w:rsidRDefault="00503CCB" w:rsidP="00503CCB">
      <w:pPr>
        <w:pStyle w:val="Paragrafoelenco"/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Theme="majorBidi" w:hAnsiTheme="majorBidi" w:cstheme="majorBidi"/>
          <w:sz w:val="24"/>
          <w:szCs w:val="24"/>
        </w:rPr>
      </w:pPr>
      <w:proofErr w:type="gramStart"/>
      <w:r w:rsidRPr="00503CCB">
        <w:rPr>
          <w:rFonts w:asciiTheme="majorBidi" w:hAnsiTheme="majorBidi" w:cstheme="majorBidi"/>
          <w:sz w:val="24"/>
          <w:szCs w:val="24"/>
        </w:rPr>
        <w:t>per  le</w:t>
      </w:r>
      <w:proofErr w:type="gramEnd"/>
      <w:r w:rsidRPr="00503CCB">
        <w:rPr>
          <w:rFonts w:asciiTheme="majorBidi" w:hAnsiTheme="majorBidi" w:cstheme="majorBidi"/>
          <w:sz w:val="24"/>
          <w:szCs w:val="24"/>
        </w:rPr>
        <w:t xml:space="preserve">  </w:t>
      </w:r>
      <w:proofErr w:type="spellStart"/>
      <w:r w:rsidRPr="00503CCB">
        <w:rPr>
          <w:rFonts w:asciiTheme="majorBidi" w:hAnsiTheme="majorBidi" w:cstheme="majorBidi"/>
          <w:sz w:val="24"/>
          <w:szCs w:val="24"/>
        </w:rPr>
        <w:t>attivita'</w:t>
      </w:r>
      <w:proofErr w:type="spellEnd"/>
      <w:r w:rsidRPr="00503CCB">
        <w:rPr>
          <w:rFonts w:asciiTheme="majorBidi" w:hAnsiTheme="majorBidi" w:cstheme="majorBidi"/>
          <w:sz w:val="24"/>
          <w:szCs w:val="24"/>
        </w:rPr>
        <w:t xml:space="preserve">  di  direzione  dei  lavori  e  di  direzione dell'esecuzione, di collaudo e verifica di </w:t>
      </w:r>
      <w:proofErr w:type="spellStart"/>
      <w:r w:rsidRPr="00503CCB">
        <w:rPr>
          <w:rFonts w:asciiTheme="majorBidi" w:hAnsiTheme="majorBidi" w:cstheme="majorBidi"/>
          <w:sz w:val="24"/>
          <w:szCs w:val="24"/>
        </w:rPr>
        <w:t>conformita'</w:t>
      </w:r>
      <w:proofErr w:type="spellEnd"/>
      <w:r w:rsidRPr="00503CCB">
        <w:rPr>
          <w:rFonts w:asciiTheme="majorBidi" w:hAnsiTheme="majorBidi" w:cstheme="majorBidi"/>
          <w:sz w:val="24"/>
          <w:szCs w:val="24"/>
        </w:rPr>
        <w:t>: alla data  di emissione del certificato di pagamento di  cui  all'articolo  113-</w:t>
      </w:r>
      <w:r w:rsidRPr="00C267CE">
        <w:rPr>
          <w:rFonts w:asciiTheme="majorBidi" w:hAnsiTheme="majorBidi" w:cstheme="majorBidi"/>
          <w:i/>
          <w:iCs/>
          <w:sz w:val="24"/>
          <w:szCs w:val="24"/>
        </w:rPr>
        <w:t>bis</w:t>
      </w:r>
      <w:r w:rsidRPr="00503CCB">
        <w:rPr>
          <w:rFonts w:asciiTheme="majorBidi" w:hAnsiTheme="majorBidi" w:cstheme="majorBidi"/>
          <w:sz w:val="24"/>
          <w:szCs w:val="24"/>
        </w:rPr>
        <w:t xml:space="preserve"> del decreto legislativo; </w:t>
      </w:r>
    </w:p>
    <w:p w14:paraId="4902CC1D" w14:textId="2BCB01FC" w:rsidR="00503CCB" w:rsidRPr="00503CCB" w:rsidRDefault="00503CCB" w:rsidP="00503CCB">
      <w:pPr>
        <w:pStyle w:val="Paragrafoelenco"/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Theme="majorBidi" w:hAnsiTheme="majorBidi" w:cstheme="majorBidi"/>
          <w:sz w:val="24"/>
          <w:szCs w:val="24"/>
        </w:rPr>
      </w:pPr>
      <w:r w:rsidRPr="00503CCB">
        <w:rPr>
          <w:rFonts w:asciiTheme="majorBidi" w:hAnsiTheme="majorBidi" w:cstheme="majorBidi"/>
          <w:sz w:val="24"/>
          <w:szCs w:val="24"/>
        </w:rPr>
        <w:t>per le attivit</w:t>
      </w:r>
      <w:r>
        <w:rPr>
          <w:rFonts w:asciiTheme="majorBidi" w:hAnsiTheme="majorBidi" w:cstheme="majorBidi"/>
          <w:sz w:val="24"/>
          <w:szCs w:val="24"/>
        </w:rPr>
        <w:t>à</w:t>
      </w:r>
      <w:r w:rsidRPr="00503CCB">
        <w:rPr>
          <w:rFonts w:asciiTheme="majorBidi" w:hAnsiTheme="majorBidi" w:cstheme="majorBidi"/>
          <w:sz w:val="24"/>
          <w:szCs w:val="24"/>
        </w:rPr>
        <w:t xml:space="preserve"> di responsabile </w:t>
      </w:r>
      <w:proofErr w:type="gramStart"/>
      <w:r w:rsidRPr="00503CCB">
        <w:rPr>
          <w:rFonts w:asciiTheme="majorBidi" w:hAnsiTheme="majorBidi" w:cstheme="majorBidi"/>
          <w:sz w:val="24"/>
          <w:szCs w:val="24"/>
        </w:rPr>
        <w:t>del  procedimento</w:t>
      </w:r>
      <w:proofErr w:type="gramEnd"/>
      <w:r w:rsidRPr="00503CCB">
        <w:rPr>
          <w:rFonts w:asciiTheme="majorBidi" w:hAnsiTheme="majorBidi" w:cstheme="majorBidi"/>
          <w:sz w:val="24"/>
          <w:szCs w:val="24"/>
        </w:rPr>
        <w:t xml:space="preserve">  e  dei  suoi collaboratori: il 20 per cento alla data di cui alla lettera a) e  il restante 80 per cento alla data di cui alla lettera b).</w:t>
      </w:r>
      <w:r w:rsidRPr="00503CCB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4ED41255" w14:textId="77777777" w:rsidR="00503CCB" w:rsidRDefault="00503CCB" w:rsidP="00503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</w:p>
    <w:p w14:paraId="6E472986" w14:textId="77777777" w:rsidR="00B474F0" w:rsidRDefault="00B474F0" w:rsidP="00F52090">
      <w:pPr>
        <w:spacing w:after="0" w:line="240" w:lineRule="atLeast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53813EA7" w14:textId="631D3C75" w:rsidR="00F52090" w:rsidRPr="00F52090" w:rsidRDefault="00F52090" w:rsidP="00F52090">
      <w:pPr>
        <w:spacing w:after="0" w:line="240" w:lineRule="atLeast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F52090">
        <w:rPr>
          <w:rFonts w:asciiTheme="majorBidi" w:hAnsiTheme="majorBidi" w:cstheme="majorBidi"/>
          <w:b/>
          <w:bCs/>
          <w:sz w:val="24"/>
          <w:szCs w:val="24"/>
        </w:rPr>
        <w:t xml:space="preserve">Art. </w:t>
      </w:r>
      <w:r w:rsidR="00C267CE">
        <w:rPr>
          <w:rFonts w:asciiTheme="majorBidi" w:hAnsiTheme="majorBidi" w:cstheme="majorBidi"/>
          <w:b/>
          <w:bCs/>
          <w:sz w:val="24"/>
          <w:szCs w:val="24"/>
        </w:rPr>
        <w:t>1</w:t>
      </w:r>
      <w:r w:rsidR="007E405E">
        <w:rPr>
          <w:rFonts w:asciiTheme="majorBidi" w:hAnsiTheme="majorBidi" w:cstheme="majorBidi"/>
          <w:b/>
          <w:bCs/>
          <w:sz w:val="24"/>
          <w:szCs w:val="24"/>
        </w:rPr>
        <w:t>3</w:t>
      </w:r>
    </w:p>
    <w:p w14:paraId="2F7AEEF6" w14:textId="67F5CD05" w:rsidR="00F52090" w:rsidRDefault="00F52090" w:rsidP="00F52090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F52090">
        <w:rPr>
          <w:rFonts w:asciiTheme="majorBidi" w:hAnsiTheme="majorBidi" w:cstheme="majorBidi"/>
          <w:b/>
          <w:bCs/>
          <w:sz w:val="24"/>
          <w:szCs w:val="24"/>
        </w:rPr>
        <w:t>Percentuale di incentivo eccedente la quota spettante annualmente al singolo dipendente</w:t>
      </w:r>
    </w:p>
    <w:p w14:paraId="53372FF2" w14:textId="77777777" w:rsidR="009D4304" w:rsidRPr="00F52090" w:rsidRDefault="009D4304" w:rsidP="00F52090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4281402E" w14:textId="0E8E053D" w:rsidR="00F52090" w:rsidRPr="00B474F0" w:rsidRDefault="00B474F0" w:rsidP="00B474F0">
      <w:pPr>
        <w:pStyle w:val="Paragrafoelenco"/>
        <w:numPr>
          <w:ilvl w:val="0"/>
          <w:numId w:val="30"/>
        </w:numPr>
        <w:spacing w:line="240" w:lineRule="atLeast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B474F0">
        <w:rPr>
          <w:rFonts w:asciiTheme="majorBidi" w:hAnsiTheme="majorBidi" w:cstheme="majorBidi"/>
          <w:sz w:val="24"/>
          <w:szCs w:val="24"/>
        </w:rPr>
        <w:t>L</w:t>
      </w:r>
      <w:r w:rsidR="00F52090" w:rsidRPr="00B474F0">
        <w:rPr>
          <w:rFonts w:asciiTheme="majorBidi" w:hAnsiTheme="majorBidi" w:cstheme="majorBidi"/>
          <w:sz w:val="24"/>
          <w:szCs w:val="24"/>
        </w:rPr>
        <w:t xml:space="preserve">’eventuale eccedenza </w:t>
      </w:r>
      <w:r w:rsidR="005538F0" w:rsidRPr="00B474F0">
        <w:rPr>
          <w:rFonts w:asciiTheme="majorBidi" w:hAnsiTheme="majorBidi" w:cstheme="majorBidi"/>
          <w:sz w:val="24"/>
          <w:szCs w:val="24"/>
        </w:rPr>
        <w:t xml:space="preserve">degli incentivi </w:t>
      </w:r>
      <w:r w:rsidR="00F52090" w:rsidRPr="00B474F0">
        <w:rPr>
          <w:rFonts w:asciiTheme="majorBidi" w:hAnsiTheme="majorBidi" w:cstheme="majorBidi"/>
          <w:sz w:val="24"/>
          <w:szCs w:val="24"/>
        </w:rPr>
        <w:t xml:space="preserve">rispetto al limite </w:t>
      </w:r>
      <w:r w:rsidR="005538F0" w:rsidRPr="00B474F0">
        <w:rPr>
          <w:rFonts w:asciiTheme="majorBidi" w:hAnsiTheme="majorBidi" w:cstheme="majorBidi"/>
          <w:sz w:val="24"/>
          <w:szCs w:val="24"/>
        </w:rPr>
        <w:t>del 50% del trattamento economico</w:t>
      </w:r>
      <w:r w:rsidR="0021596D" w:rsidRPr="00B474F0">
        <w:rPr>
          <w:rFonts w:asciiTheme="majorBidi" w:hAnsiTheme="majorBidi" w:cstheme="majorBidi"/>
          <w:sz w:val="24"/>
          <w:szCs w:val="24"/>
        </w:rPr>
        <w:t xml:space="preserve"> </w:t>
      </w:r>
      <w:r w:rsidR="005538F0" w:rsidRPr="00B474F0">
        <w:rPr>
          <w:rFonts w:asciiTheme="majorBidi" w:hAnsiTheme="majorBidi" w:cstheme="majorBidi"/>
          <w:sz w:val="24"/>
          <w:szCs w:val="24"/>
        </w:rPr>
        <w:t xml:space="preserve">lordo </w:t>
      </w:r>
      <w:r w:rsidR="0021596D" w:rsidRPr="00B474F0">
        <w:rPr>
          <w:rFonts w:asciiTheme="majorBidi" w:hAnsiTheme="majorBidi" w:cstheme="majorBidi"/>
          <w:sz w:val="24"/>
          <w:szCs w:val="24"/>
        </w:rPr>
        <w:t xml:space="preserve">annuo </w:t>
      </w:r>
      <w:r w:rsidR="005538F0" w:rsidRPr="00B474F0">
        <w:rPr>
          <w:rFonts w:asciiTheme="majorBidi" w:hAnsiTheme="majorBidi" w:cstheme="majorBidi"/>
          <w:sz w:val="24"/>
          <w:szCs w:val="24"/>
        </w:rPr>
        <w:t xml:space="preserve">del dipendente </w:t>
      </w:r>
      <w:r w:rsidR="00180E2A">
        <w:rPr>
          <w:rFonts w:asciiTheme="majorBidi" w:hAnsiTheme="majorBidi" w:cstheme="majorBidi"/>
          <w:sz w:val="24"/>
          <w:szCs w:val="24"/>
        </w:rPr>
        <w:t xml:space="preserve">(e precisamente il trattamento economico avente natura fissa e ricorrente) </w:t>
      </w:r>
      <w:r w:rsidR="005538F0" w:rsidRPr="00B474F0">
        <w:rPr>
          <w:rFonts w:asciiTheme="majorBidi" w:hAnsiTheme="majorBidi" w:cstheme="majorBidi"/>
          <w:sz w:val="24"/>
          <w:szCs w:val="24"/>
        </w:rPr>
        <w:t xml:space="preserve">non è </w:t>
      </w:r>
      <w:proofErr w:type="spellStart"/>
      <w:r w:rsidR="005538F0" w:rsidRPr="00B474F0">
        <w:rPr>
          <w:rFonts w:asciiTheme="majorBidi" w:hAnsiTheme="majorBidi" w:cstheme="majorBidi"/>
          <w:sz w:val="24"/>
          <w:szCs w:val="24"/>
        </w:rPr>
        <w:t>redistribuibile</w:t>
      </w:r>
      <w:proofErr w:type="spellEnd"/>
      <w:r w:rsidR="005538F0" w:rsidRPr="00B474F0">
        <w:rPr>
          <w:rFonts w:asciiTheme="majorBidi" w:hAnsiTheme="majorBidi" w:cstheme="majorBidi"/>
          <w:sz w:val="24"/>
          <w:szCs w:val="24"/>
        </w:rPr>
        <w:t xml:space="preserve"> </w:t>
      </w:r>
      <w:r w:rsidR="0021596D" w:rsidRPr="00B474F0">
        <w:rPr>
          <w:rFonts w:asciiTheme="majorBidi" w:hAnsiTheme="majorBidi" w:cstheme="majorBidi"/>
          <w:sz w:val="24"/>
          <w:szCs w:val="24"/>
        </w:rPr>
        <w:t xml:space="preserve">al </w:t>
      </w:r>
      <w:r w:rsidR="00F52090" w:rsidRPr="00B474F0">
        <w:rPr>
          <w:rFonts w:asciiTheme="majorBidi" w:hAnsiTheme="majorBidi" w:cstheme="majorBidi"/>
          <w:sz w:val="24"/>
          <w:szCs w:val="24"/>
        </w:rPr>
        <w:t xml:space="preserve">personale destinatario dell’incentivo né </w:t>
      </w:r>
      <w:r w:rsidR="005538F0" w:rsidRPr="00B474F0">
        <w:rPr>
          <w:rFonts w:asciiTheme="majorBidi" w:hAnsiTheme="majorBidi" w:cstheme="majorBidi"/>
          <w:sz w:val="24"/>
          <w:szCs w:val="24"/>
        </w:rPr>
        <w:t xml:space="preserve">può essere corrisposto negli anni successivi </w:t>
      </w:r>
      <w:r w:rsidR="00F52090" w:rsidRPr="00B474F0">
        <w:rPr>
          <w:rFonts w:asciiTheme="majorBidi" w:hAnsiTheme="majorBidi" w:cstheme="majorBidi"/>
          <w:sz w:val="24"/>
          <w:szCs w:val="24"/>
        </w:rPr>
        <w:t>quello di esecuzione dell’incarico</w:t>
      </w:r>
      <w:r>
        <w:rPr>
          <w:rFonts w:asciiTheme="majorBidi" w:hAnsiTheme="majorBidi" w:cstheme="majorBidi"/>
          <w:sz w:val="24"/>
          <w:szCs w:val="24"/>
        </w:rPr>
        <w:t xml:space="preserve"> laddove l’appalto di lavori, servizi o forniture sia stato svolto in un singolo esercizio finanziario.</w:t>
      </w:r>
    </w:p>
    <w:p w14:paraId="7EC59767" w14:textId="5CA7E4FE" w:rsidR="00943661" w:rsidRDefault="00943661" w:rsidP="00943661">
      <w:pPr>
        <w:pStyle w:val="Paragrafoelenco"/>
        <w:numPr>
          <w:ilvl w:val="0"/>
          <w:numId w:val="30"/>
        </w:numPr>
        <w:spacing w:after="0" w:line="240" w:lineRule="auto"/>
        <w:ind w:left="714" w:hanging="357"/>
        <w:jc w:val="both"/>
        <w:rPr>
          <w:rFonts w:asciiTheme="majorBidi" w:hAnsiTheme="majorBidi" w:cstheme="majorBidi"/>
          <w:sz w:val="24"/>
          <w:szCs w:val="24"/>
        </w:rPr>
      </w:pPr>
      <w:r w:rsidRPr="00943661">
        <w:rPr>
          <w:rFonts w:asciiTheme="majorBidi" w:hAnsiTheme="majorBidi" w:cstheme="majorBidi"/>
          <w:sz w:val="24"/>
          <w:szCs w:val="24"/>
        </w:rPr>
        <w:t xml:space="preserve">Al fine di verificare il rispetto del tetto del 50% </w:t>
      </w:r>
      <w:r>
        <w:rPr>
          <w:rFonts w:asciiTheme="majorBidi" w:hAnsiTheme="majorBidi" w:cstheme="majorBidi"/>
          <w:sz w:val="24"/>
          <w:szCs w:val="24"/>
        </w:rPr>
        <w:t>di cui al comma 1</w:t>
      </w:r>
      <w:r w:rsidRPr="00943661">
        <w:rPr>
          <w:rFonts w:asciiTheme="majorBidi" w:hAnsiTheme="majorBidi" w:cstheme="majorBidi"/>
          <w:sz w:val="24"/>
          <w:szCs w:val="24"/>
        </w:rPr>
        <w:t>, si deve tenere conto dello stipendio percepito dal dipendente nell’anno in cui è emesso il certificato di pagamento, anche se l’incentivo è corrisposto al dipendente l’anno successivo.</w:t>
      </w:r>
    </w:p>
    <w:p w14:paraId="6577E615" w14:textId="77777777" w:rsidR="00C267CE" w:rsidRDefault="00C267CE" w:rsidP="00C267CE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652695B7" w14:textId="77777777" w:rsidR="00C267CE" w:rsidRDefault="00C267CE" w:rsidP="00C267CE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0FAAD6CC" w14:textId="23DE4CE9" w:rsidR="00C267CE" w:rsidRPr="001E6BE8" w:rsidRDefault="00C267CE" w:rsidP="00C267CE">
      <w:pPr>
        <w:spacing w:after="0" w:line="240" w:lineRule="atLeast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1E6BE8">
        <w:rPr>
          <w:rFonts w:asciiTheme="majorBidi" w:hAnsiTheme="majorBidi" w:cstheme="majorBidi"/>
          <w:b/>
          <w:bCs/>
          <w:sz w:val="24"/>
          <w:szCs w:val="24"/>
        </w:rPr>
        <w:t xml:space="preserve">Art. </w:t>
      </w:r>
      <w:r>
        <w:rPr>
          <w:rFonts w:asciiTheme="majorBidi" w:hAnsiTheme="majorBidi" w:cstheme="majorBidi"/>
          <w:b/>
          <w:bCs/>
          <w:sz w:val="24"/>
          <w:szCs w:val="24"/>
        </w:rPr>
        <w:t>1</w:t>
      </w:r>
      <w:r w:rsidR="007E405E">
        <w:rPr>
          <w:rFonts w:asciiTheme="majorBidi" w:hAnsiTheme="majorBidi" w:cstheme="majorBidi"/>
          <w:b/>
          <w:bCs/>
          <w:sz w:val="24"/>
          <w:szCs w:val="24"/>
        </w:rPr>
        <w:t>4</w:t>
      </w:r>
    </w:p>
    <w:p w14:paraId="27FF144C" w14:textId="77777777" w:rsidR="00C267CE" w:rsidRDefault="00C267CE" w:rsidP="00C267CE">
      <w:pPr>
        <w:spacing w:after="0" w:line="240" w:lineRule="atLeast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1E6BE8">
        <w:rPr>
          <w:rFonts w:asciiTheme="majorBidi" w:hAnsiTheme="majorBidi" w:cstheme="majorBidi"/>
          <w:b/>
          <w:bCs/>
          <w:sz w:val="24"/>
          <w:szCs w:val="24"/>
        </w:rPr>
        <w:t xml:space="preserve">Ripartizione dell’incentivo in caso di successione di più addetti </w:t>
      </w:r>
    </w:p>
    <w:p w14:paraId="7FBA6652" w14:textId="77777777" w:rsidR="00C267CE" w:rsidRDefault="00C267CE" w:rsidP="00C267CE">
      <w:pPr>
        <w:spacing w:after="0" w:line="240" w:lineRule="atLeast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1E6BE8">
        <w:rPr>
          <w:rFonts w:asciiTheme="majorBidi" w:hAnsiTheme="majorBidi" w:cstheme="majorBidi"/>
          <w:b/>
          <w:bCs/>
          <w:sz w:val="24"/>
          <w:szCs w:val="24"/>
        </w:rPr>
        <w:t>nello svolgimento di una specifica attività</w:t>
      </w:r>
    </w:p>
    <w:p w14:paraId="2CF45944" w14:textId="77777777" w:rsidR="00C267CE" w:rsidRDefault="00C267CE" w:rsidP="00C267CE">
      <w:pPr>
        <w:spacing w:after="0" w:line="240" w:lineRule="atLeast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75D33171" w14:textId="77777777" w:rsidR="00C267CE" w:rsidRDefault="00C267CE" w:rsidP="00C267CE">
      <w:pPr>
        <w:pStyle w:val="Paragrafoelenco"/>
        <w:numPr>
          <w:ilvl w:val="0"/>
          <w:numId w:val="38"/>
        </w:numPr>
        <w:spacing w:after="0" w:line="240" w:lineRule="atLeast"/>
        <w:jc w:val="both"/>
        <w:rPr>
          <w:rFonts w:asciiTheme="majorBidi" w:hAnsiTheme="majorBidi" w:cstheme="majorBidi"/>
          <w:sz w:val="24"/>
          <w:szCs w:val="24"/>
        </w:rPr>
      </w:pPr>
      <w:r w:rsidRPr="0021596D">
        <w:rPr>
          <w:rFonts w:ascii="Times New Roman" w:hAnsi="Times New Roman" w:cs="Times New Roman"/>
          <w:sz w:val="24"/>
          <w:szCs w:val="24"/>
        </w:rPr>
        <w:lastRenderedPageBreak/>
        <w:t xml:space="preserve">In caso di </w:t>
      </w:r>
      <w:r w:rsidRPr="0021596D">
        <w:rPr>
          <w:rFonts w:asciiTheme="majorBidi" w:hAnsiTheme="majorBidi" w:cstheme="majorBidi"/>
          <w:sz w:val="24"/>
          <w:szCs w:val="24"/>
        </w:rPr>
        <w:t xml:space="preserve">successione di più addetti nello svolgimento di una attività incentivabile, i relativi compensi vengono corrisposti in proporzione all’attività effettivamente svolta. </w:t>
      </w:r>
    </w:p>
    <w:p w14:paraId="076A2F72" w14:textId="77777777" w:rsidR="00C267CE" w:rsidRPr="00C267CE" w:rsidRDefault="00C267CE" w:rsidP="00C267CE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1802F378" w14:textId="77777777" w:rsidR="00B474F0" w:rsidRPr="00B474F0" w:rsidRDefault="00B474F0" w:rsidP="00B474F0">
      <w:pPr>
        <w:spacing w:line="240" w:lineRule="atLeast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1033218E" w14:textId="77777777" w:rsidR="00EE0BD0" w:rsidRDefault="00EE0BD0" w:rsidP="00EE0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Theme="majorBidi" w:eastAsia="Times New Roman" w:hAnsiTheme="majorBidi" w:cstheme="majorBidi"/>
          <w:sz w:val="24"/>
          <w:szCs w:val="24"/>
          <w:lang w:eastAsia="it-IT"/>
        </w:rPr>
      </w:pPr>
    </w:p>
    <w:p w14:paraId="197BA05B" w14:textId="08E4C406" w:rsidR="00EE0BD0" w:rsidRDefault="00EE0BD0" w:rsidP="00EE0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center"/>
        <w:rPr>
          <w:rFonts w:asciiTheme="majorBidi" w:eastAsia="Times New Roman" w:hAnsiTheme="majorBidi" w:cstheme="majorBidi"/>
          <w:b/>
          <w:bCs/>
          <w:sz w:val="24"/>
          <w:szCs w:val="24"/>
          <w:lang w:eastAsia="it-IT"/>
        </w:rPr>
      </w:pPr>
      <w:r>
        <w:rPr>
          <w:rFonts w:asciiTheme="majorBidi" w:eastAsia="Times New Roman" w:hAnsiTheme="majorBidi" w:cstheme="majorBidi"/>
          <w:b/>
          <w:bCs/>
          <w:sz w:val="24"/>
          <w:szCs w:val="24"/>
          <w:lang w:eastAsia="it-IT"/>
        </w:rPr>
        <w:t>Art. 1</w:t>
      </w:r>
      <w:r w:rsidR="007E405E">
        <w:rPr>
          <w:rFonts w:asciiTheme="majorBidi" w:eastAsia="Times New Roman" w:hAnsiTheme="majorBidi" w:cstheme="majorBidi"/>
          <w:b/>
          <w:bCs/>
          <w:sz w:val="24"/>
          <w:szCs w:val="24"/>
          <w:lang w:eastAsia="it-IT"/>
        </w:rPr>
        <w:t>5</w:t>
      </w:r>
    </w:p>
    <w:p w14:paraId="0422F1CE" w14:textId="767CEBAE" w:rsidR="00EE0BD0" w:rsidRDefault="00EE0BD0" w:rsidP="00EE0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center"/>
        <w:rPr>
          <w:rFonts w:asciiTheme="majorBidi" w:eastAsia="Times New Roman" w:hAnsiTheme="majorBidi" w:cstheme="majorBidi"/>
          <w:b/>
          <w:bCs/>
          <w:sz w:val="24"/>
          <w:szCs w:val="24"/>
          <w:lang w:eastAsia="it-IT"/>
        </w:rPr>
      </w:pPr>
      <w:r>
        <w:rPr>
          <w:rFonts w:asciiTheme="majorBidi" w:eastAsia="Times New Roman" w:hAnsiTheme="majorBidi" w:cstheme="majorBidi"/>
          <w:b/>
          <w:bCs/>
          <w:sz w:val="24"/>
          <w:szCs w:val="24"/>
          <w:lang w:eastAsia="it-IT"/>
        </w:rPr>
        <w:t>Soggetto che deve proporre la liquidazione dell’incentivo</w:t>
      </w:r>
    </w:p>
    <w:p w14:paraId="5C8BB4A1" w14:textId="77777777" w:rsidR="00EE0BD0" w:rsidRDefault="00EE0BD0" w:rsidP="00EE0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Theme="majorBidi" w:eastAsia="Times New Roman" w:hAnsiTheme="majorBidi" w:cstheme="majorBidi"/>
          <w:b/>
          <w:bCs/>
          <w:sz w:val="24"/>
          <w:szCs w:val="24"/>
          <w:lang w:eastAsia="it-IT"/>
        </w:rPr>
      </w:pPr>
    </w:p>
    <w:p w14:paraId="444CFC5C" w14:textId="523A11A1" w:rsidR="002230CA" w:rsidRDefault="00EE0BD0" w:rsidP="00E70F4D">
      <w:pPr>
        <w:pStyle w:val="Paragrafoelenco"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Theme="majorBidi" w:eastAsia="Times New Roman" w:hAnsiTheme="majorBidi" w:cstheme="majorBidi"/>
          <w:sz w:val="24"/>
          <w:szCs w:val="24"/>
          <w:lang w:eastAsia="it-IT"/>
        </w:rPr>
      </w:pPr>
      <w:r w:rsidRPr="00E70F4D">
        <w:rPr>
          <w:rFonts w:asciiTheme="majorBidi" w:eastAsia="Times New Roman" w:hAnsiTheme="majorBidi" w:cstheme="majorBidi"/>
          <w:sz w:val="24"/>
          <w:szCs w:val="24"/>
          <w:lang w:eastAsia="it-IT"/>
        </w:rPr>
        <w:t>La proposta di liquidazione è formulata al direttore generale dal RUP</w:t>
      </w:r>
      <w:r w:rsidR="002230CA">
        <w:rPr>
          <w:rFonts w:asciiTheme="majorBidi" w:eastAsia="Times New Roman" w:hAnsiTheme="majorBidi" w:cstheme="majorBidi"/>
          <w:sz w:val="24"/>
          <w:szCs w:val="24"/>
          <w:lang w:eastAsia="it-IT"/>
        </w:rPr>
        <w:t>.</w:t>
      </w:r>
    </w:p>
    <w:p w14:paraId="493F3CA7" w14:textId="77777777" w:rsidR="00E74447" w:rsidRDefault="00E74447" w:rsidP="00EE0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Theme="majorBidi" w:eastAsia="Times New Roman" w:hAnsiTheme="majorBidi" w:cstheme="majorBidi"/>
          <w:sz w:val="24"/>
          <w:szCs w:val="24"/>
          <w:lang w:eastAsia="it-IT"/>
        </w:rPr>
      </w:pPr>
    </w:p>
    <w:p w14:paraId="0DF4FED0" w14:textId="77777777" w:rsidR="00E74447" w:rsidRDefault="00E74447" w:rsidP="00EE0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Theme="majorBidi" w:eastAsia="Times New Roman" w:hAnsiTheme="majorBidi" w:cstheme="majorBidi"/>
          <w:sz w:val="24"/>
          <w:szCs w:val="24"/>
          <w:lang w:eastAsia="it-IT"/>
        </w:rPr>
      </w:pPr>
    </w:p>
    <w:p w14:paraId="6E4EA1D8" w14:textId="77777777" w:rsidR="007E5728" w:rsidRPr="007E5728" w:rsidRDefault="007E5728" w:rsidP="00927C64">
      <w:pPr>
        <w:spacing w:after="0" w:line="240" w:lineRule="atLeast"/>
        <w:jc w:val="both"/>
        <w:rPr>
          <w:rFonts w:asciiTheme="majorBidi" w:eastAsia="Times New Roman" w:hAnsiTheme="majorBidi" w:cstheme="majorBidi"/>
          <w:sz w:val="24"/>
          <w:szCs w:val="24"/>
          <w:lang w:eastAsia="it-IT"/>
        </w:rPr>
      </w:pPr>
    </w:p>
    <w:sectPr w:rsidR="007E5728" w:rsidRPr="007E5728">
      <w:footerReference w:type="even" r:id="rId12"/>
      <w:footerReference w:type="defaul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9B17D" w14:textId="77777777" w:rsidR="00A409B5" w:rsidRDefault="00A409B5" w:rsidP="00807CC1">
      <w:pPr>
        <w:spacing w:after="0" w:line="240" w:lineRule="auto"/>
      </w:pPr>
      <w:r>
        <w:separator/>
      </w:r>
    </w:p>
  </w:endnote>
  <w:endnote w:type="continuationSeparator" w:id="0">
    <w:p w14:paraId="72A4B6D6" w14:textId="77777777" w:rsidR="00A409B5" w:rsidRDefault="00A409B5" w:rsidP="00807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1203672931"/>
      <w:docPartObj>
        <w:docPartGallery w:val="Page Numbers (Bottom of Page)"/>
        <w:docPartUnique/>
      </w:docPartObj>
    </w:sdtPr>
    <w:sdtContent>
      <w:p w14:paraId="2ADC67EF" w14:textId="6CEB8F25" w:rsidR="00807CC1" w:rsidRDefault="00807CC1" w:rsidP="0056350F">
        <w:pPr>
          <w:pStyle w:val="Pidipagina"/>
          <w:framePr w:wrap="none" w:vAnchor="text" w:hAnchor="margin" w:xAlign="center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10D0871F" w14:textId="77777777" w:rsidR="00807CC1" w:rsidRDefault="00807CC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-1858265370"/>
      <w:docPartObj>
        <w:docPartGallery w:val="Page Numbers (Bottom of Page)"/>
        <w:docPartUnique/>
      </w:docPartObj>
    </w:sdtPr>
    <w:sdtContent>
      <w:p w14:paraId="6FB9829A" w14:textId="574E0CEE" w:rsidR="00807CC1" w:rsidRDefault="00807CC1" w:rsidP="0056350F">
        <w:pPr>
          <w:pStyle w:val="Pidipagina"/>
          <w:framePr w:wrap="none" w:vAnchor="text" w:hAnchor="margin" w:xAlign="center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  <w:noProof/>
          </w:rPr>
          <w:t>1</w:t>
        </w:r>
        <w:r>
          <w:rPr>
            <w:rStyle w:val="Numeropagina"/>
          </w:rPr>
          <w:fldChar w:fldCharType="end"/>
        </w:r>
      </w:p>
    </w:sdtContent>
  </w:sdt>
  <w:p w14:paraId="461D5E5A" w14:textId="77777777" w:rsidR="00807CC1" w:rsidRDefault="00807CC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52169" w14:textId="77777777" w:rsidR="00A409B5" w:rsidRDefault="00A409B5" w:rsidP="00807CC1">
      <w:pPr>
        <w:spacing w:after="0" w:line="240" w:lineRule="auto"/>
      </w:pPr>
      <w:r>
        <w:separator/>
      </w:r>
    </w:p>
  </w:footnote>
  <w:footnote w:type="continuationSeparator" w:id="0">
    <w:p w14:paraId="2845A236" w14:textId="77777777" w:rsidR="00A409B5" w:rsidRDefault="00A409B5" w:rsidP="00807C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47EDE"/>
    <w:multiLevelType w:val="hybridMultilevel"/>
    <w:tmpl w:val="C28C0CF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73F7B"/>
    <w:multiLevelType w:val="hybridMultilevel"/>
    <w:tmpl w:val="1D7ED1D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5F4ECC"/>
    <w:multiLevelType w:val="hybridMultilevel"/>
    <w:tmpl w:val="44840000"/>
    <w:lvl w:ilvl="0" w:tplc="8A601BA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CE2C85"/>
    <w:multiLevelType w:val="hybridMultilevel"/>
    <w:tmpl w:val="56820E8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7B65C4"/>
    <w:multiLevelType w:val="hybridMultilevel"/>
    <w:tmpl w:val="84CE4BC8"/>
    <w:lvl w:ilvl="0" w:tplc="060E9C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03703F"/>
    <w:multiLevelType w:val="hybridMultilevel"/>
    <w:tmpl w:val="F264A90C"/>
    <w:lvl w:ilvl="0" w:tplc="0410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 w15:restartNumberingAfterBreak="0">
    <w:nsid w:val="0E224DB8"/>
    <w:multiLevelType w:val="hybridMultilevel"/>
    <w:tmpl w:val="B90475C6"/>
    <w:lvl w:ilvl="0" w:tplc="0410000F">
      <w:start w:val="1"/>
      <w:numFmt w:val="decimal"/>
      <w:lvlText w:val="%1."/>
      <w:lvlJc w:val="left"/>
      <w:pPr>
        <w:ind w:left="-708" w:hanging="360"/>
      </w:pPr>
    </w:lvl>
    <w:lvl w:ilvl="1" w:tplc="04100019" w:tentative="1">
      <w:start w:val="1"/>
      <w:numFmt w:val="lowerLetter"/>
      <w:lvlText w:val="%2."/>
      <w:lvlJc w:val="left"/>
      <w:pPr>
        <w:ind w:left="12" w:hanging="360"/>
      </w:pPr>
    </w:lvl>
    <w:lvl w:ilvl="2" w:tplc="0410001B" w:tentative="1">
      <w:start w:val="1"/>
      <w:numFmt w:val="lowerRoman"/>
      <w:lvlText w:val="%3."/>
      <w:lvlJc w:val="right"/>
      <w:pPr>
        <w:ind w:left="732" w:hanging="180"/>
      </w:pPr>
    </w:lvl>
    <w:lvl w:ilvl="3" w:tplc="0410000F" w:tentative="1">
      <w:start w:val="1"/>
      <w:numFmt w:val="decimal"/>
      <w:lvlText w:val="%4."/>
      <w:lvlJc w:val="left"/>
      <w:pPr>
        <w:ind w:left="1452" w:hanging="360"/>
      </w:pPr>
    </w:lvl>
    <w:lvl w:ilvl="4" w:tplc="04100019" w:tentative="1">
      <w:start w:val="1"/>
      <w:numFmt w:val="lowerLetter"/>
      <w:lvlText w:val="%5."/>
      <w:lvlJc w:val="left"/>
      <w:pPr>
        <w:ind w:left="2172" w:hanging="360"/>
      </w:pPr>
    </w:lvl>
    <w:lvl w:ilvl="5" w:tplc="0410001B" w:tentative="1">
      <w:start w:val="1"/>
      <w:numFmt w:val="lowerRoman"/>
      <w:lvlText w:val="%6."/>
      <w:lvlJc w:val="right"/>
      <w:pPr>
        <w:ind w:left="2892" w:hanging="180"/>
      </w:pPr>
    </w:lvl>
    <w:lvl w:ilvl="6" w:tplc="0410000F" w:tentative="1">
      <w:start w:val="1"/>
      <w:numFmt w:val="decimal"/>
      <w:lvlText w:val="%7."/>
      <w:lvlJc w:val="left"/>
      <w:pPr>
        <w:ind w:left="3612" w:hanging="360"/>
      </w:pPr>
    </w:lvl>
    <w:lvl w:ilvl="7" w:tplc="04100019" w:tentative="1">
      <w:start w:val="1"/>
      <w:numFmt w:val="lowerLetter"/>
      <w:lvlText w:val="%8."/>
      <w:lvlJc w:val="left"/>
      <w:pPr>
        <w:ind w:left="4332" w:hanging="360"/>
      </w:pPr>
    </w:lvl>
    <w:lvl w:ilvl="8" w:tplc="0410001B" w:tentative="1">
      <w:start w:val="1"/>
      <w:numFmt w:val="lowerRoman"/>
      <w:lvlText w:val="%9."/>
      <w:lvlJc w:val="right"/>
      <w:pPr>
        <w:ind w:left="5052" w:hanging="180"/>
      </w:pPr>
    </w:lvl>
  </w:abstractNum>
  <w:abstractNum w:abstractNumId="7" w15:restartNumberingAfterBreak="0">
    <w:nsid w:val="113B4A7F"/>
    <w:multiLevelType w:val="hybridMultilevel"/>
    <w:tmpl w:val="102CD24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1A5B45"/>
    <w:multiLevelType w:val="hybridMultilevel"/>
    <w:tmpl w:val="A704F81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5A3721"/>
    <w:multiLevelType w:val="hybridMultilevel"/>
    <w:tmpl w:val="CC3A53FE"/>
    <w:lvl w:ilvl="0" w:tplc="BCA22B0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E0441E"/>
    <w:multiLevelType w:val="hybridMultilevel"/>
    <w:tmpl w:val="A0D241C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1E2F72"/>
    <w:multiLevelType w:val="hybridMultilevel"/>
    <w:tmpl w:val="4EE2999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3B7203"/>
    <w:multiLevelType w:val="hybridMultilevel"/>
    <w:tmpl w:val="809440C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9D19B6"/>
    <w:multiLevelType w:val="hybridMultilevel"/>
    <w:tmpl w:val="F6E42F9A"/>
    <w:lvl w:ilvl="0" w:tplc="921CCA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EA422D7"/>
    <w:multiLevelType w:val="hybridMultilevel"/>
    <w:tmpl w:val="2D42A5F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F440A1"/>
    <w:multiLevelType w:val="hybridMultilevel"/>
    <w:tmpl w:val="F9FE176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3B478A"/>
    <w:multiLevelType w:val="hybridMultilevel"/>
    <w:tmpl w:val="9A4278F2"/>
    <w:lvl w:ilvl="0" w:tplc="0410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895783"/>
    <w:multiLevelType w:val="hybridMultilevel"/>
    <w:tmpl w:val="DC56939E"/>
    <w:lvl w:ilvl="0" w:tplc="B6E87DEE">
      <w:start w:val="1"/>
      <w:numFmt w:val="lowerLetter"/>
      <w:lvlText w:val="%1)"/>
      <w:lvlJc w:val="left"/>
      <w:pPr>
        <w:ind w:left="720" w:hanging="360"/>
      </w:pPr>
      <w:rPr>
        <w:rFonts w:asciiTheme="majorBidi" w:eastAsiaTheme="minorHAnsi" w:hAnsiTheme="majorBidi" w:cstheme="majorBidi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472813"/>
    <w:multiLevelType w:val="hybridMultilevel"/>
    <w:tmpl w:val="B846DDA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062491"/>
    <w:multiLevelType w:val="hybridMultilevel"/>
    <w:tmpl w:val="5BEE0CA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213916"/>
    <w:multiLevelType w:val="hybridMultilevel"/>
    <w:tmpl w:val="051A314A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D7051B8"/>
    <w:multiLevelType w:val="hybridMultilevel"/>
    <w:tmpl w:val="3020A6A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290A32"/>
    <w:multiLevelType w:val="multilevel"/>
    <w:tmpl w:val="14EA97A0"/>
    <w:styleLink w:val="Elencocorrente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9D6318"/>
    <w:multiLevelType w:val="hybridMultilevel"/>
    <w:tmpl w:val="CB5AEF08"/>
    <w:lvl w:ilvl="0" w:tplc="4E2AF3C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2647CF"/>
    <w:multiLevelType w:val="hybridMultilevel"/>
    <w:tmpl w:val="B5200A4E"/>
    <w:lvl w:ilvl="0" w:tplc="28BC21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4B45AF"/>
    <w:multiLevelType w:val="hybridMultilevel"/>
    <w:tmpl w:val="83CC8C28"/>
    <w:lvl w:ilvl="0" w:tplc="0410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06670D"/>
    <w:multiLevelType w:val="hybridMultilevel"/>
    <w:tmpl w:val="FF786812"/>
    <w:lvl w:ilvl="0" w:tplc="049C3D1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405AE1"/>
    <w:multiLevelType w:val="hybridMultilevel"/>
    <w:tmpl w:val="54A21E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FE3F58"/>
    <w:multiLevelType w:val="hybridMultilevel"/>
    <w:tmpl w:val="9B4889A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627771"/>
    <w:multiLevelType w:val="hybridMultilevel"/>
    <w:tmpl w:val="AB7C5E0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F43A06"/>
    <w:multiLevelType w:val="hybridMultilevel"/>
    <w:tmpl w:val="66C06B0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5E71BB"/>
    <w:multiLevelType w:val="hybridMultilevel"/>
    <w:tmpl w:val="051A314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34E7125"/>
    <w:multiLevelType w:val="hybridMultilevel"/>
    <w:tmpl w:val="6C8E1A4A"/>
    <w:lvl w:ilvl="0" w:tplc="5B785E70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4514064"/>
    <w:multiLevelType w:val="hybridMultilevel"/>
    <w:tmpl w:val="9B4889A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695285"/>
    <w:multiLevelType w:val="hybridMultilevel"/>
    <w:tmpl w:val="C02291C8"/>
    <w:lvl w:ilvl="0" w:tplc="805248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4780BC6"/>
    <w:multiLevelType w:val="hybridMultilevel"/>
    <w:tmpl w:val="25E4EB94"/>
    <w:lvl w:ilvl="0" w:tplc="B972D6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B2F264C"/>
    <w:multiLevelType w:val="hybridMultilevel"/>
    <w:tmpl w:val="7666B13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2D4B21"/>
    <w:multiLevelType w:val="hybridMultilevel"/>
    <w:tmpl w:val="4F90CC2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75107F"/>
    <w:multiLevelType w:val="hybridMultilevel"/>
    <w:tmpl w:val="5D783E3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8014F7"/>
    <w:multiLevelType w:val="hybridMultilevel"/>
    <w:tmpl w:val="FCAAB826"/>
    <w:lvl w:ilvl="0" w:tplc="825A29D4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6F53D5"/>
    <w:multiLevelType w:val="hybridMultilevel"/>
    <w:tmpl w:val="CC3A53F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FF5440"/>
    <w:multiLevelType w:val="hybridMultilevel"/>
    <w:tmpl w:val="92B2221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5B4556"/>
    <w:multiLevelType w:val="hybridMultilevel"/>
    <w:tmpl w:val="C472CBDE"/>
    <w:lvl w:ilvl="0" w:tplc="0410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1636BE"/>
    <w:multiLevelType w:val="hybridMultilevel"/>
    <w:tmpl w:val="B846DDA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0A775C"/>
    <w:multiLevelType w:val="hybridMultilevel"/>
    <w:tmpl w:val="B16AE102"/>
    <w:lvl w:ilvl="0" w:tplc="AD30A4C8">
      <w:start w:val="1"/>
      <w:numFmt w:val="lowerLetter"/>
      <w:lvlText w:val="%1)"/>
      <w:lvlJc w:val="left"/>
      <w:pPr>
        <w:ind w:left="720" w:hanging="360"/>
      </w:pPr>
      <w:rPr>
        <w:rFonts w:asciiTheme="majorBidi" w:eastAsiaTheme="minorHAnsi" w:hAnsiTheme="majorBidi" w:cstheme="majorBidi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043C40"/>
    <w:multiLevelType w:val="hybridMultilevel"/>
    <w:tmpl w:val="BD34E5D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2F1552"/>
    <w:multiLevelType w:val="hybridMultilevel"/>
    <w:tmpl w:val="EFF2D22A"/>
    <w:lvl w:ilvl="0" w:tplc="C80E5E9C">
      <w:start w:val="1"/>
      <w:numFmt w:val="lowerLetter"/>
      <w:lvlText w:val="%1)"/>
      <w:lvlJc w:val="left"/>
      <w:pPr>
        <w:ind w:left="720" w:hanging="360"/>
      </w:pPr>
      <w:rPr>
        <w:rFonts w:asciiTheme="majorBidi" w:eastAsiaTheme="minorHAnsi" w:hAnsiTheme="majorBidi" w:cstheme="majorBid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3912497">
    <w:abstractNumId w:val="39"/>
  </w:num>
  <w:num w:numId="2" w16cid:durableId="1049038693">
    <w:abstractNumId w:val="38"/>
  </w:num>
  <w:num w:numId="3" w16cid:durableId="77755389">
    <w:abstractNumId w:val="32"/>
  </w:num>
  <w:num w:numId="4" w16cid:durableId="855731980">
    <w:abstractNumId w:val="9"/>
  </w:num>
  <w:num w:numId="5" w16cid:durableId="872499783">
    <w:abstractNumId w:val="2"/>
  </w:num>
  <w:num w:numId="6" w16cid:durableId="1677419603">
    <w:abstractNumId w:val="26"/>
  </w:num>
  <w:num w:numId="7" w16cid:durableId="1408527773">
    <w:abstractNumId w:val="40"/>
  </w:num>
  <w:num w:numId="8" w16cid:durableId="2120445820">
    <w:abstractNumId w:val="12"/>
  </w:num>
  <w:num w:numId="9" w16cid:durableId="952857993">
    <w:abstractNumId w:val="3"/>
  </w:num>
  <w:num w:numId="10" w16cid:durableId="1007560347">
    <w:abstractNumId w:val="17"/>
  </w:num>
  <w:num w:numId="11" w16cid:durableId="1511993969">
    <w:abstractNumId w:val="13"/>
  </w:num>
  <w:num w:numId="12" w16cid:durableId="1392342900">
    <w:abstractNumId w:val="46"/>
  </w:num>
  <w:num w:numId="13" w16cid:durableId="1056276183">
    <w:abstractNumId w:val="36"/>
  </w:num>
  <w:num w:numId="14" w16cid:durableId="1158226473">
    <w:abstractNumId w:val="31"/>
  </w:num>
  <w:num w:numId="15" w16cid:durableId="125245943">
    <w:abstractNumId w:val="20"/>
  </w:num>
  <w:num w:numId="16" w16cid:durableId="700397510">
    <w:abstractNumId w:val="34"/>
  </w:num>
  <w:num w:numId="17" w16cid:durableId="248581442">
    <w:abstractNumId w:val="35"/>
  </w:num>
  <w:num w:numId="18" w16cid:durableId="382605047">
    <w:abstractNumId w:val="24"/>
  </w:num>
  <w:num w:numId="19" w16cid:durableId="924456143">
    <w:abstractNumId w:val="5"/>
  </w:num>
  <w:num w:numId="20" w16cid:durableId="30033260">
    <w:abstractNumId w:val="6"/>
  </w:num>
  <w:num w:numId="21" w16cid:durableId="182980275">
    <w:abstractNumId w:val="44"/>
  </w:num>
  <w:num w:numId="22" w16cid:durableId="232280158">
    <w:abstractNumId w:val="18"/>
  </w:num>
  <w:num w:numId="23" w16cid:durableId="1151365793">
    <w:abstractNumId w:val="42"/>
  </w:num>
  <w:num w:numId="24" w16cid:durableId="1179932803">
    <w:abstractNumId w:val="43"/>
  </w:num>
  <w:num w:numId="25" w16cid:durableId="1386946986">
    <w:abstractNumId w:val="23"/>
  </w:num>
  <w:num w:numId="26" w16cid:durableId="1269309618">
    <w:abstractNumId w:val="7"/>
  </w:num>
  <w:num w:numId="27" w16cid:durableId="395862367">
    <w:abstractNumId w:val="16"/>
  </w:num>
  <w:num w:numId="28" w16cid:durableId="1105077101">
    <w:abstractNumId w:val="33"/>
  </w:num>
  <w:num w:numId="29" w16cid:durableId="996374682">
    <w:abstractNumId w:val="15"/>
  </w:num>
  <w:num w:numId="30" w16cid:durableId="1605842205">
    <w:abstractNumId w:val="0"/>
  </w:num>
  <w:num w:numId="31" w16cid:durableId="1231189424">
    <w:abstractNumId w:val="27"/>
  </w:num>
  <w:num w:numId="32" w16cid:durableId="1568762103">
    <w:abstractNumId w:val="22"/>
  </w:num>
  <w:num w:numId="33" w16cid:durableId="297687290">
    <w:abstractNumId w:val="37"/>
  </w:num>
  <w:num w:numId="34" w16cid:durableId="259335376">
    <w:abstractNumId w:val="4"/>
  </w:num>
  <w:num w:numId="35" w16cid:durableId="1071346092">
    <w:abstractNumId w:val="21"/>
  </w:num>
  <w:num w:numId="36" w16cid:durableId="896627094">
    <w:abstractNumId w:val="45"/>
  </w:num>
  <w:num w:numId="37" w16cid:durableId="1499928991">
    <w:abstractNumId w:val="11"/>
  </w:num>
  <w:num w:numId="38" w16cid:durableId="1645087048">
    <w:abstractNumId w:val="28"/>
  </w:num>
  <w:num w:numId="39" w16cid:durableId="1432554159">
    <w:abstractNumId w:val="1"/>
  </w:num>
  <w:num w:numId="40" w16cid:durableId="1605570919">
    <w:abstractNumId w:val="10"/>
  </w:num>
  <w:num w:numId="41" w16cid:durableId="1748073488">
    <w:abstractNumId w:val="25"/>
  </w:num>
  <w:num w:numId="42" w16cid:durableId="838544401">
    <w:abstractNumId w:val="30"/>
  </w:num>
  <w:num w:numId="43" w16cid:durableId="1549419719">
    <w:abstractNumId w:val="29"/>
  </w:num>
  <w:num w:numId="44" w16cid:durableId="2087144704">
    <w:abstractNumId w:val="41"/>
  </w:num>
  <w:num w:numId="45" w16cid:durableId="760492790">
    <w:abstractNumId w:val="8"/>
  </w:num>
  <w:num w:numId="46" w16cid:durableId="1211919320">
    <w:abstractNumId w:val="14"/>
  </w:num>
  <w:num w:numId="47" w16cid:durableId="66265785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C73"/>
    <w:rsid w:val="00000BAF"/>
    <w:rsid w:val="00003BE7"/>
    <w:rsid w:val="00033BE9"/>
    <w:rsid w:val="00052C8F"/>
    <w:rsid w:val="00057D5B"/>
    <w:rsid w:val="00063B86"/>
    <w:rsid w:val="000640B4"/>
    <w:rsid w:val="000668DA"/>
    <w:rsid w:val="00075C1D"/>
    <w:rsid w:val="00094A76"/>
    <w:rsid w:val="000E2629"/>
    <w:rsid w:val="000E3F5C"/>
    <w:rsid w:val="0010094C"/>
    <w:rsid w:val="001054DA"/>
    <w:rsid w:val="0011122B"/>
    <w:rsid w:val="00114CDF"/>
    <w:rsid w:val="00120EA2"/>
    <w:rsid w:val="00133F7C"/>
    <w:rsid w:val="00147FB4"/>
    <w:rsid w:val="0015749B"/>
    <w:rsid w:val="00180E2A"/>
    <w:rsid w:val="00193C54"/>
    <w:rsid w:val="001A6C3E"/>
    <w:rsid w:val="001E0204"/>
    <w:rsid w:val="001E21EB"/>
    <w:rsid w:val="001E4F9C"/>
    <w:rsid w:val="001E6BE8"/>
    <w:rsid w:val="00206D22"/>
    <w:rsid w:val="002121C2"/>
    <w:rsid w:val="0021596D"/>
    <w:rsid w:val="002230CA"/>
    <w:rsid w:val="00263956"/>
    <w:rsid w:val="00267D7F"/>
    <w:rsid w:val="002857B0"/>
    <w:rsid w:val="002C6EB3"/>
    <w:rsid w:val="002D7DB7"/>
    <w:rsid w:val="002E0BAC"/>
    <w:rsid w:val="003158D1"/>
    <w:rsid w:val="00353B3B"/>
    <w:rsid w:val="003563E0"/>
    <w:rsid w:val="00381058"/>
    <w:rsid w:val="00396C4C"/>
    <w:rsid w:val="003B0014"/>
    <w:rsid w:val="003B68F1"/>
    <w:rsid w:val="003C78F2"/>
    <w:rsid w:val="003D0F26"/>
    <w:rsid w:val="003D770B"/>
    <w:rsid w:val="003F1EFF"/>
    <w:rsid w:val="00455983"/>
    <w:rsid w:val="00461EA3"/>
    <w:rsid w:val="00463245"/>
    <w:rsid w:val="00470016"/>
    <w:rsid w:val="004735BF"/>
    <w:rsid w:val="00477B6F"/>
    <w:rsid w:val="00484B6A"/>
    <w:rsid w:val="00491B67"/>
    <w:rsid w:val="004922A3"/>
    <w:rsid w:val="004A0A8C"/>
    <w:rsid w:val="004A3116"/>
    <w:rsid w:val="004B0445"/>
    <w:rsid w:val="004B59F4"/>
    <w:rsid w:val="004C2110"/>
    <w:rsid w:val="004E1904"/>
    <w:rsid w:val="004F0E7A"/>
    <w:rsid w:val="004F6431"/>
    <w:rsid w:val="00503C73"/>
    <w:rsid w:val="00503CCB"/>
    <w:rsid w:val="00505BB6"/>
    <w:rsid w:val="00506936"/>
    <w:rsid w:val="00514DA7"/>
    <w:rsid w:val="00521FCD"/>
    <w:rsid w:val="00525C1C"/>
    <w:rsid w:val="00526FF4"/>
    <w:rsid w:val="005330A2"/>
    <w:rsid w:val="00534FC1"/>
    <w:rsid w:val="005538F0"/>
    <w:rsid w:val="00571123"/>
    <w:rsid w:val="00573490"/>
    <w:rsid w:val="00575761"/>
    <w:rsid w:val="00575E42"/>
    <w:rsid w:val="005913DC"/>
    <w:rsid w:val="005C1F8C"/>
    <w:rsid w:val="005D68A1"/>
    <w:rsid w:val="005E4846"/>
    <w:rsid w:val="005F49B6"/>
    <w:rsid w:val="00616212"/>
    <w:rsid w:val="00632544"/>
    <w:rsid w:val="00654955"/>
    <w:rsid w:val="00663538"/>
    <w:rsid w:val="00672A03"/>
    <w:rsid w:val="00675CB2"/>
    <w:rsid w:val="006A49AC"/>
    <w:rsid w:val="006A624E"/>
    <w:rsid w:val="006B2384"/>
    <w:rsid w:val="006C14D3"/>
    <w:rsid w:val="006C529F"/>
    <w:rsid w:val="0070117D"/>
    <w:rsid w:val="00704086"/>
    <w:rsid w:val="00724739"/>
    <w:rsid w:val="007402CF"/>
    <w:rsid w:val="007469E6"/>
    <w:rsid w:val="00766486"/>
    <w:rsid w:val="007B2A5A"/>
    <w:rsid w:val="007C73C2"/>
    <w:rsid w:val="007E405E"/>
    <w:rsid w:val="007E5728"/>
    <w:rsid w:val="008066A5"/>
    <w:rsid w:val="00807CC1"/>
    <w:rsid w:val="008210EF"/>
    <w:rsid w:val="008258FB"/>
    <w:rsid w:val="008469BC"/>
    <w:rsid w:val="00851930"/>
    <w:rsid w:val="008676C4"/>
    <w:rsid w:val="008732E5"/>
    <w:rsid w:val="008A1CB2"/>
    <w:rsid w:val="008A272C"/>
    <w:rsid w:val="008E1705"/>
    <w:rsid w:val="00903CE4"/>
    <w:rsid w:val="00926235"/>
    <w:rsid w:val="00927205"/>
    <w:rsid w:val="00927C64"/>
    <w:rsid w:val="009337D7"/>
    <w:rsid w:val="00943661"/>
    <w:rsid w:val="00973C7F"/>
    <w:rsid w:val="00990BB0"/>
    <w:rsid w:val="009A2E19"/>
    <w:rsid w:val="009B5282"/>
    <w:rsid w:val="009D08A2"/>
    <w:rsid w:val="009D4304"/>
    <w:rsid w:val="00A14E46"/>
    <w:rsid w:val="00A23601"/>
    <w:rsid w:val="00A27524"/>
    <w:rsid w:val="00A409B5"/>
    <w:rsid w:val="00A5593F"/>
    <w:rsid w:val="00A742CE"/>
    <w:rsid w:val="00A77731"/>
    <w:rsid w:val="00A83AE3"/>
    <w:rsid w:val="00AC0104"/>
    <w:rsid w:val="00AE7A9A"/>
    <w:rsid w:val="00B14543"/>
    <w:rsid w:val="00B21C72"/>
    <w:rsid w:val="00B31CCB"/>
    <w:rsid w:val="00B32C41"/>
    <w:rsid w:val="00B40433"/>
    <w:rsid w:val="00B474F0"/>
    <w:rsid w:val="00B54697"/>
    <w:rsid w:val="00B60D5B"/>
    <w:rsid w:val="00B86361"/>
    <w:rsid w:val="00B979E2"/>
    <w:rsid w:val="00BA56DF"/>
    <w:rsid w:val="00BB15C0"/>
    <w:rsid w:val="00BD6E7E"/>
    <w:rsid w:val="00BE0F48"/>
    <w:rsid w:val="00C03B1A"/>
    <w:rsid w:val="00C267CE"/>
    <w:rsid w:val="00C31F8F"/>
    <w:rsid w:val="00C378F9"/>
    <w:rsid w:val="00C44DC0"/>
    <w:rsid w:val="00C47B1F"/>
    <w:rsid w:val="00C53142"/>
    <w:rsid w:val="00C64D2B"/>
    <w:rsid w:val="00C672B3"/>
    <w:rsid w:val="00C70C1F"/>
    <w:rsid w:val="00C75220"/>
    <w:rsid w:val="00C75C1D"/>
    <w:rsid w:val="00C778CC"/>
    <w:rsid w:val="00C82635"/>
    <w:rsid w:val="00C83CA9"/>
    <w:rsid w:val="00C93330"/>
    <w:rsid w:val="00CA5CAD"/>
    <w:rsid w:val="00CB7D64"/>
    <w:rsid w:val="00CC2F84"/>
    <w:rsid w:val="00CE30E1"/>
    <w:rsid w:val="00CE75E5"/>
    <w:rsid w:val="00CF55FD"/>
    <w:rsid w:val="00D033E1"/>
    <w:rsid w:val="00D0346B"/>
    <w:rsid w:val="00D6718B"/>
    <w:rsid w:val="00D851B3"/>
    <w:rsid w:val="00D92ABF"/>
    <w:rsid w:val="00DA77A5"/>
    <w:rsid w:val="00DB2D79"/>
    <w:rsid w:val="00DD7F88"/>
    <w:rsid w:val="00DE2216"/>
    <w:rsid w:val="00E02562"/>
    <w:rsid w:val="00E05646"/>
    <w:rsid w:val="00E465C1"/>
    <w:rsid w:val="00E46642"/>
    <w:rsid w:val="00E52242"/>
    <w:rsid w:val="00E61615"/>
    <w:rsid w:val="00E70F4D"/>
    <w:rsid w:val="00E74447"/>
    <w:rsid w:val="00E8171C"/>
    <w:rsid w:val="00EE0BD0"/>
    <w:rsid w:val="00EF006B"/>
    <w:rsid w:val="00EF1C0D"/>
    <w:rsid w:val="00EF41E1"/>
    <w:rsid w:val="00EF5C2A"/>
    <w:rsid w:val="00F0658A"/>
    <w:rsid w:val="00F41457"/>
    <w:rsid w:val="00F43A25"/>
    <w:rsid w:val="00F52090"/>
    <w:rsid w:val="00F61103"/>
    <w:rsid w:val="00F62739"/>
    <w:rsid w:val="00F949DF"/>
    <w:rsid w:val="00FC27B1"/>
    <w:rsid w:val="00FC48E6"/>
    <w:rsid w:val="00FF3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5F783"/>
  <w15:docId w15:val="{419C92FE-29AA-49BA-BE1E-AF39C037F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6E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6E7E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193C5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1122B"/>
    <w:rPr>
      <w:color w:val="0000FF" w:themeColor="hyperlink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807C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07CC1"/>
  </w:style>
  <w:style w:type="character" w:styleId="Numeropagina">
    <w:name w:val="page number"/>
    <w:basedOn w:val="Carpredefinitoparagrafo"/>
    <w:uiPriority w:val="99"/>
    <w:semiHidden/>
    <w:unhideWhenUsed/>
    <w:rsid w:val="00807CC1"/>
  </w:style>
  <w:style w:type="character" w:styleId="Menzionenonrisolta">
    <w:name w:val="Unresolved Mention"/>
    <w:basedOn w:val="Carpredefinitoparagrafo"/>
    <w:uiPriority w:val="99"/>
    <w:semiHidden/>
    <w:unhideWhenUsed/>
    <w:rsid w:val="00927205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52090"/>
    <w:pPr>
      <w:spacing w:after="0" w:line="240" w:lineRule="auto"/>
    </w:pPr>
    <w:rPr>
      <w:rFonts w:eastAsiaTheme="minorEastAsia"/>
      <w:sz w:val="20"/>
      <w:szCs w:val="20"/>
      <w:lang w:eastAsia="zh-CN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52090"/>
    <w:rPr>
      <w:rFonts w:eastAsiaTheme="minorEastAsia"/>
      <w:sz w:val="20"/>
      <w:szCs w:val="20"/>
      <w:lang w:eastAsia="zh-CN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52090"/>
    <w:rPr>
      <w:vertAlign w:val="superscript"/>
    </w:rPr>
  </w:style>
  <w:style w:type="paragraph" w:styleId="NormaleWeb">
    <w:name w:val="Normal (Web)"/>
    <w:basedOn w:val="Normale"/>
    <w:uiPriority w:val="99"/>
    <w:unhideWhenUsed/>
    <w:rsid w:val="00BB1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BB15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BB15C0"/>
    <w:rPr>
      <w:rFonts w:ascii="Courier New" w:eastAsia="Times New Roman" w:hAnsi="Courier New" w:cs="Courier New"/>
      <w:sz w:val="20"/>
      <w:szCs w:val="20"/>
      <w:lang w:eastAsia="zh-CN"/>
    </w:rPr>
  </w:style>
  <w:style w:type="table" w:styleId="Grigliatabellachiara">
    <w:name w:val="Grid Table Light"/>
    <w:basedOn w:val="Tabellanormale"/>
    <w:uiPriority w:val="40"/>
    <w:rsid w:val="004B59F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numbering" w:customStyle="1" w:styleId="Elencocorrente1">
    <w:name w:val="Elenco corrente1"/>
    <w:uiPriority w:val="99"/>
    <w:rsid w:val="009D4304"/>
    <w:pPr>
      <w:numPr>
        <w:numId w:val="32"/>
      </w:numPr>
    </w:pPr>
  </w:style>
  <w:style w:type="table" w:styleId="Tabellasemplice5">
    <w:name w:val="Plain Table 5"/>
    <w:basedOn w:val="Tabellanormale"/>
    <w:uiPriority w:val="45"/>
    <w:rsid w:val="006C529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3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73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7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04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59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6E5AA70F8B90C42872152FEB5C1618C" ma:contentTypeVersion="8" ma:contentTypeDescription="Creare un nuovo documento." ma:contentTypeScope="" ma:versionID="9ad8f6a1942adb7fdc21a5df264a2f76">
  <xsd:schema xmlns:xsd="http://www.w3.org/2001/XMLSchema" xmlns:xs="http://www.w3.org/2001/XMLSchema" xmlns:p="http://schemas.microsoft.com/office/2006/metadata/properties" xmlns:ns3="e8cff81d-ddf6-4d21-b34d-0a6e33fce772" xmlns:ns4="94864897-b93d-474a-a76d-7f295c5d87ce" targetNamespace="http://schemas.microsoft.com/office/2006/metadata/properties" ma:root="true" ma:fieldsID="5ee3a9b19e939665b698002d9297a387" ns3:_="" ns4:_="">
    <xsd:import namespace="e8cff81d-ddf6-4d21-b34d-0a6e33fce772"/>
    <xsd:import namespace="94864897-b93d-474a-a76d-7f295c5d87c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cff81d-ddf6-4d21-b34d-0a6e33fce7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864897-b93d-474a-a76d-7f295c5d87c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4DAEFAC-0F30-4F41-9405-C3EE8B58BA5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EB0E562-5D61-4F36-844A-F0DB335768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3ECD98-9858-4B9F-AB6A-7646FDFEAF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cff81d-ddf6-4d21-b34d-0a6e33fce772"/>
    <ds:schemaRef ds:uri="94864897-b93d-474a-a76d-7f295c5d87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F5DDD6C-F6C6-4B44-8E51-3B411E0F722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1547</Words>
  <Characters>8819</Characters>
  <Application>Microsoft Office Word</Application>
  <DocSecurity>0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Claudio Faustino Camanini</dc:creator>
  <cp:lastModifiedBy>Nino</cp:lastModifiedBy>
  <cp:revision>2</cp:revision>
  <cp:lastPrinted>2023-06-19T13:42:00Z</cp:lastPrinted>
  <dcterms:created xsi:type="dcterms:W3CDTF">2023-07-12T15:07:00Z</dcterms:created>
  <dcterms:modified xsi:type="dcterms:W3CDTF">2023-07-12T15:07:00Z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0x010100C6E5AA70F8B90C42872152FEB5C1618C</vt:lpwstr>
  </property>
</Properties>
</file>