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AE1C" w14:textId="1A45263F" w:rsidR="00A021CB" w:rsidRPr="007F6062" w:rsidRDefault="003E20A7" w:rsidP="003E20A7">
      <w:pPr>
        <w:pStyle w:val="Corpotesto"/>
        <w:ind w:left="-709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69D8EE3D" wp14:editId="47089C9A">
            <wp:extent cx="7426534" cy="1319530"/>
            <wp:effectExtent l="0" t="0" r="3175" b="0"/>
            <wp:docPr id="1927033445" name="Immagine 1" descr="Immagine che contiene testo, Carattere, schermata, biglietto da 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033445" name="Immagine 1" descr="Immagine che contiene testo, Carattere, schermata, biglietto da visi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42" cy="132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BCBA3" w14:textId="77777777" w:rsidR="00A021CB" w:rsidRPr="007F6062" w:rsidRDefault="00A021CB">
      <w:pPr>
        <w:pStyle w:val="Corpotesto"/>
        <w:rPr>
          <w:rFonts w:ascii="Nirmala UI" w:hAnsi="Nirmala UI" w:cs="Nirmala UI"/>
        </w:rPr>
      </w:pPr>
    </w:p>
    <w:p w14:paraId="08372BD6" w14:textId="00DD15A5" w:rsidR="00A021CB" w:rsidRPr="00F31538" w:rsidRDefault="00000000">
      <w:pPr>
        <w:spacing w:before="63" w:after="42"/>
        <w:ind w:left="474"/>
        <w:jc w:val="both"/>
        <w:rPr>
          <w:rFonts w:ascii="Nirmala UI" w:hAnsi="Nirmala UI" w:cs="Nirmala UI"/>
          <w:i/>
          <w:color w:val="002060"/>
          <w:sz w:val="21"/>
        </w:rPr>
      </w:pPr>
      <w:r w:rsidRPr="00F31538">
        <w:rPr>
          <w:rFonts w:ascii="Nirmala UI" w:hAnsi="Nirmala UI" w:cs="Nirmala UI"/>
          <w:i/>
          <w:color w:val="002060"/>
          <w:sz w:val="21"/>
        </w:rPr>
        <w:t>Il/La</w:t>
      </w:r>
      <w:r w:rsidRPr="00F31538">
        <w:rPr>
          <w:rFonts w:ascii="Nirmala UI" w:hAnsi="Nirmala UI" w:cs="Nirmala UI"/>
          <w:i/>
          <w:color w:val="002060"/>
          <w:spacing w:val="-1"/>
          <w:sz w:val="21"/>
        </w:rPr>
        <w:t xml:space="preserve"> </w:t>
      </w:r>
      <w:r w:rsidRPr="00F31538">
        <w:rPr>
          <w:rFonts w:ascii="Nirmala UI" w:hAnsi="Nirmala UI" w:cs="Nirmala UI"/>
          <w:i/>
          <w:color w:val="002060"/>
          <w:spacing w:val="-2"/>
          <w:sz w:val="21"/>
        </w:rPr>
        <w:t>sottoscritto/a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961"/>
      </w:tblGrid>
      <w:tr w:rsidR="00F31538" w:rsidRPr="00F31538" w14:paraId="791D4BAD" w14:textId="77777777" w:rsidTr="00155F22">
        <w:trPr>
          <w:trHeight w:val="568"/>
        </w:trPr>
        <w:tc>
          <w:tcPr>
            <w:tcW w:w="4851" w:type="dxa"/>
            <w:vAlign w:val="center"/>
          </w:tcPr>
          <w:p w14:paraId="47997214" w14:textId="77777777" w:rsidR="00A021CB" w:rsidRPr="00F31538" w:rsidRDefault="00A021CB">
            <w:pPr>
              <w:pStyle w:val="TableParagraph"/>
              <w:spacing w:before="1"/>
              <w:rPr>
                <w:i/>
                <w:color w:val="002060"/>
                <w:sz w:val="17"/>
              </w:rPr>
            </w:pPr>
          </w:p>
          <w:p w14:paraId="64BA5217" w14:textId="77777777" w:rsidR="00A021CB" w:rsidRPr="00F31538" w:rsidRDefault="00000000">
            <w:pPr>
              <w:pStyle w:val="TableParagraph"/>
              <w:ind w:left="110"/>
              <w:rPr>
                <w:b/>
                <w:color w:val="002060"/>
                <w:sz w:val="20"/>
              </w:rPr>
            </w:pPr>
            <w:r w:rsidRPr="00F31538">
              <w:rPr>
                <w:b/>
                <w:color w:val="002060"/>
                <w:spacing w:val="-2"/>
                <w:sz w:val="20"/>
              </w:rPr>
              <w:t>Cognome</w:t>
            </w:r>
          </w:p>
        </w:tc>
        <w:tc>
          <w:tcPr>
            <w:tcW w:w="4961" w:type="dxa"/>
            <w:vAlign w:val="center"/>
          </w:tcPr>
          <w:p w14:paraId="5AEC1A9D" w14:textId="77777777" w:rsidR="00A021CB" w:rsidRPr="00F31538" w:rsidRDefault="00A021CB">
            <w:pPr>
              <w:pStyle w:val="TableParagraph"/>
              <w:spacing w:before="1"/>
              <w:rPr>
                <w:i/>
                <w:color w:val="002060"/>
                <w:sz w:val="17"/>
              </w:rPr>
            </w:pPr>
          </w:p>
          <w:p w14:paraId="2EC5E635" w14:textId="77777777" w:rsidR="00A021CB" w:rsidRPr="00F31538" w:rsidRDefault="00000000">
            <w:pPr>
              <w:pStyle w:val="TableParagraph"/>
              <w:ind w:left="107"/>
              <w:rPr>
                <w:b/>
                <w:color w:val="002060"/>
                <w:sz w:val="20"/>
              </w:rPr>
            </w:pPr>
            <w:r w:rsidRPr="00F31538">
              <w:rPr>
                <w:b/>
                <w:color w:val="002060"/>
                <w:spacing w:val="-4"/>
                <w:sz w:val="20"/>
              </w:rPr>
              <w:t>Nome</w:t>
            </w:r>
          </w:p>
        </w:tc>
      </w:tr>
      <w:tr w:rsidR="00F31538" w:rsidRPr="00F31538" w14:paraId="0359E1F0" w14:textId="77777777" w:rsidTr="00155F22">
        <w:trPr>
          <w:trHeight w:val="566"/>
        </w:trPr>
        <w:tc>
          <w:tcPr>
            <w:tcW w:w="4851" w:type="dxa"/>
            <w:vAlign w:val="center"/>
          </w:tcPr>
          <w:p w14:paraId="73ED3689" w14:textId="77777777" w:rsidR="00A021CB" w:rsidRPr="00F31538" w:rsidRDefault="00A021CB">
            <w:pPr>
              <w:pStyle w:val="TableParagraph"/>
              <w:spacing w:before="1"/>
              <w:rPr>
                <w:i/>
                <w:color w:val="002060"/>
                <w:sz w:val="17"/>
              </w:rPr>
            </w:pPr>
          </w:p>
          <w:p w14:paraId="6E522E5C" w14:textId="77777777" w:rsidR="00A021CB" w:rsidRPr="00F31538" w:rsidRDefault="00000000">
            <w:pPr>
              <w:pStyle w:val="TableParagraph"/>
              <w:ind w:left="110"/>
              <w:rPr>
                <w:b/>
                <w:color w:val="002060"/>
                <w:sz w:val="20"/>
              </w:rPr>
            </w:pPr>
            <w:r w:rsidRPr="00F31538">
              <w:rPr>
                <w:b/>
                <w:color w:val="002060"/>
                <w:spacing w:val="-2"/>
                <w:sz w:val="20"/>
              </w:rPr>
              <w:t>@mail</w:t>
            </w:r>
          </w:p>
        </w:tc>
        <w:tc>
          <w:tcPr>
            <w:tcW w:w="4961" w:type="dxa"/>
            <w:vAlign w:val="center"/>
          </w:tcPr>
          <w:p w14:paraId="61C984B8" w14:textId="77777777" w:rsidR="00A021CB" w:rsidRPr="00F31538" w:rsidRDefault="00A021CB">
            <w:pPr>
              <w:pStyle w:val="TableParagraph"/>
              <w:spacing w:before="1"/>
              <w:rPr>
                <w:i/>
                <w:color w:val="002060"/>
                <w:sz w:val="17"/>
              </w:rPr>
            </w:pPr>
          </w:p>
          <w:p w14:paraId="0AF56615" w14:textId="77777777" w:rsidR="00A021CB" w:rsidRPr="00F31538" w:rsidRDefault="00000000">
            <w:pPr>
              <w:pStyle w:val="TableParagraph"/>
              <w:ind w:left="107"/>
              <w:rPr>
                <w:b/>
                <w:color w:val="002060"/>
                <w:sz w:val="20"/>
              </w:rPr>
            </w:pPr>
            <w:proofErr w:type="spellStart"/>
            <w:r w:rsidRPr="00F31538">
              <w:rPr>
                <w:b/>
                <w:color w:val="002060"/>
                <w:spacing w:val="-2"/>
                <w:sz w:val="20"/>
              </w:rPr>
              <w:t>cell</w:t>
            </w:r>
            <w:proofErr w:type="spellEnd"/>
            <w:r w:rsidRPr="00F31538">
              <w:rPr>
                <w:b/>
                <w:color w:val="002060"/>
                <w:spacing w:val="-2"/>
                <w:sz w:val="20"/>
              </w:rPr>
              <w:t>.</w:t>
            </w:r>
          </w:p>
        </w:tc>
      </w:tr>
      <w:tr w:rsidR="00F31538" w:rsidRPr="00F31538" w14:paraId="1234659F" w14:textId="77777777" w:rsidTr="00155F22">
        <w:trPr>
          <w:trHeight w:val="745"/>
        </w:trPr>
        <w:tc>
          <w:tcPr>
            <w:tcW w:w="9812" w:type="dxa"/>
            <w:gridSpan w:val="2"/>
            <w:vAlign w:val="center"/>
          </w:tcPr>
          <w:p w14:paraId="2A3D7168" w14:textId="77777777" w:rsidR="00A021CB" w:rsidRPr="00F31538" w:rsidRDefault="00000000">
            <w:pPr>
              <w:pStyle w:val="TableParagraph"/>
              <w:spacing w:before="110"/>
              <w:ind w:left="110"/>
              <w:rPr>
                <w:b/>
                <w:color w:val="002060"/>
                <w:sz w:val="20"/>
              </w:rPr>
            </w:pPr>
            <w:r w:rsidRPr="00F31538">
              <w:rPr>
                <w:b/>
                <w:color w:val="002060"/>
                <w:sz w:val="20"/>
              </w:rPr>
              <w:t>Dipendente</w:t>
            </w:r>
            <w:r w:rsidRPr="00F31538">
              <w:rPr>
                <w:b/>
                <w:color w:val="002060"/>
                <w:spacing w:val="-6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del</w:t>
            </w:r>
            <w:r w:rsidRPr="00F31538">
              <w:rPr>
                <w:b/>
                <w:color w:val="002060"/>
                <w:spacing w:val="-8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Ministero</w:t>
            </w:r>
            <w:r w:rsidRPr="00F31538">
              <w:rPr>
                <w:b/>
                <w:color w:val="002060"/>
                <w:spacing w:val="-5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della</w:t>
            </w:r>
            <w:r w:rsidRPr="00F31538">
              <w:rPr>
                <w:b/>
                <w:color w:val="002060"/>
                <w:spacing w:val="-7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Giustizia</w:t>
            </w:r>
            <w:r w:rsidRPr="00F31538">
              <w:rPr>
                <w:b/>
                <w:color w:val="002060"/>
                <w:spacing w:val="-8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attualmente</w:t>
            </w:r>
            <w:r w:rsidRPr="00F31538">
              <w:rPr>
                <w:b/>
                <w:color w:val="002060"/>
                <w:spacing w:val="-7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in</w:t>
            </w:r>
            <w:r w:rsidRPr="00F31538">
              <w:rPr>
                <w:b/>
                <w:color w:val="002060"/>
                <w:spacing w:val="-8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servizio</w:t>
            </w:r>
            <w:r w:rsidRPr="00F31538">
              <w:rPr>
                <w:b/>
                <w:color w:val="002060"/>
                <w:spacing w:val="-7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presso</w:t>
            </w:r>
            <w:r w:rsidRPr="00F31538">
              <w:rPr>
                <w:b/>
                <w:color w:val="002060"/>
                <w:spacing w:val="-10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(specificare</w:t>
            </w:r>
            <w:r w:rsidRPr="00F31538">
              <w:rPr>
                <w:b/>
                <w:color w:val="002060"/>
                <w:spacing w:val="-7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ufficio</w:t>
            </w:r>
            <w:r w:rsidRPr="00F31538">
              <w:rPr>
                <w:b/>
                <w:color w:val="002060"/>
                <w:spacing w:val="-8"/>
                <w:sz w:val="20"/>
              </w:rPr>
              <w:t xml:space="preserve"> </w:t>
            </w:r>
            <w:r w:rsidRPr="00F31538">
              <w:rPr>
                <w:b/>
                <w:color w:val="002060"/>
                <w:sz w:val="20"/>
              </w:rPr>
              <w:t>e</w:t>
            </w:r>
            <w:r w:rsidRPr="00F31538">
              <w:rPr>
                <w:b/>
                <w:color w:val="002060"/>
                <w:spacing w:val="-7"/>
                <w:sz w:val="20"/>
              </w:rPr>
              <w:t xml:space="preserve"> </w:t>
            </w:r>
            <w:r w:rsidRPr="00F31538">
              <w:rPr>
                <w:b/>
                <w:color w:val="002060"/>
                <w:spacing w:val="-2"/>
                <w:sz w:val="20"/>
              </w:rPr>
              <w:t>città):</w:t>
            </w:r>
          </w:p>
        </w:tc>
      </w:tr>
      <w:tr w:rsidR="00155F22" w:rsidRPr="00155F22" w14:paraId="55C2DC9F" w14:textId="77777777" w:rsidTr="008336E5">
        <w:trPr>
          <w:trHeight w:val="489"/>
        </w:trPr>
        <w:tc>
          <w:tcPr>
            <w:tcW w:w="9812" w:type="dxa"/>
            <w:gridSpan w:val="2"/>
            <w:vAlign w:val="center"/>
          </w:tcPr>
          <w:p w14:paraId="2C5BB887" w14:textId="5BBD42BE" w:rsidR="00155F22" w:rsidRPr="00155F22" w:rsidRDefault="00155F22" w:rsidP="003E20A7">
            <w:pPr>
              <w:pStyle w:val="TableParagraph"/>
              <w:spacing w:line="469" w:lineRule="exact"/>
              <w:ind w:left="116"/>
              <w:rPr>
                <w:noProof/>
                <w:color w:val="002060"/>
                <w:sz w:val="20"/>
                <w:szCs w:val="20"/>
              </w:rPr>
            </w:pPr>
            <w:r w:rsidRPr="00155F22">
              <w:rPr>
                <w:b/>
                <w:bCs/>
                <w:noProof/>
                <w:color w:val="002060"/>
                <w:sz w:val="20"/>
                <w:szCs w:val="20"/>
              </w:rPr>
              <w:t>Cancelliere Esperto assunto in data _____________________________</w:t>
            </w:r>
          </w:p>
        </w:tc>
      </w:tr>
    </w:tbl>
    <w:p w14:paraId="6994BEC3" w14:textId="77777777" w:rsidR="00A021CB" w:rsidRPr="00F31538" w:rsidRDefault="00000000">
      <w:pPr>
        <w:spacing w:before="113"/>
        <w:ind w:left="4785" w:right="4543"/>
        <w:jc w:val="center"/>
        <w:rPr>
          <w:rFonts w:ascii="Nirmala UI" w:hAnsi="Nirmala UI" w:cs="Nirmala UI"/>
          <w:b/>
          <w:color w:val="002060"/>
          <w:sz w:val="20"/>
        </w:rPr>
      </w:pPr>
      <w:r w:rsidRPr="00F31538">
        <w:rPr>
          <w:rFonts w:ascii="Nirmala UI" w:hAnsi="Nirmala UI" w:cs="Nirmala UI"/>
          <w:b/>
          <w:color w:val="002060"/>
          <w:spacing w:val="-2"/>
          <w:sz w:val="20"/>
        </w:rPr>
        <w:t>CHIEDE</w:t>
      </w:r>
    </w:p>
    <w:p w14:paraId="0A671E61" w14:textId="3C7417AC" w:rsidR="00A021CB" w:rsidRPr="00F31538" w:rsidRDefault="00000000" w:rsidP="007F6062">
      <w:pPr>
        <w:pStyle w:val="Corpotesto"/>
        <w:spacing w:line="367" w:lineRule="auto"/>
        <w:ind w:left="474" w:right="22"/>
        <w:jc w:val="both"/>
        <w:rPr>
          <w:rFonts w:ascii="Nirmala UI" w:hAnsi="Nirmala UI" w:cs="Nirmala UI"/>
          <w:color w:val="002060"/>
        </w:rPr>
      </w:pPr>
      <w:r w:rsidRPr="00F31538">
        <w:rPr>
          <w:rFonts w:ascii="Nirmala UI" w:hAnsi="Nirmala UI" w:cs="Nirmala UI"/>
          <w:color w:val="002060"/>
          <w:w w:val="105"/>
        </w:rPr>
        <w:t>di aderire all’iniziativa</w:t>
      </w:r>
      <w:r w:rsidR="003E20A7">
        <w:rPr>
          <w:rFonts w:ascii="Nirmala UI" w:hAnsi="Nirmala UI" w:cs="Nirmala UI"/>
          <w:color w:val="002060"/>
          <w:w w:val="105"/>
        </w:rPr>
        <w:t xml:space="preserve"> Confintesa FP</w:t>
      </w:r>
      <w:r w:rsidRPr="00F31538">
        <w:rPr>
          <w:rFonts w:ascii="Nirmala UI" w:hAnsi="Nirmala UI" w:cs="Nirmala UI"/>
          <w:color w:val="002060"/>
          <w:w w:val="105"/>
        </w:rPr>
        <w:t xml:space="preserve"> avente ad oggetto</w:t>
      </w:r>
      <w:r w:rsidRPr="00F31538">
        <w:rPr>
          <w:rFonts w:ascii="Nirmala UI" w:hAnsi="Nirmala UI" w:cs="Nirmala UI"/>
          <w:color w:val="002060"/>
          <w:spacing w:val="28"/>
          <w:w w:val="105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</w:rPr>
        <w:t>il tentativo</w:t>
      </w:r>
      <w:r w:rsidRPr="00F31538">
        <w:rPr>
          <w:rFonts w:ascii="Nirmala UI" w:hAnsi="Nirmala UI" w:cs="Nirmala UI"/>
          <w:color w:val="002060"/>
          <w:spacing w:val="28"/>
          <w:w w:val="105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</w:rPr>
        <w:t>di conciliazione nei confronti del Ministero della Giustizia per l’accertamento del diritto all’inquadramento nella III Area Funzionale e la conseguente condanna del Ministero della Giustizia al risarcimento del danno patrimoniale, subito e subendo in misura annua pari alla differenza tra il trattamento economico percepito ed il trattamento economico relativo all’inquadramento rivendicato.</w:t>
      </w:r>
    </w:p>
    <w:p w14:paraId="3105130E" w14:textId="77777777" w:rsidR="00A021CB" w:rsidRPr="00F31538" w:rsidRDefault="00000000" w:rsidP="006D58E6">
      <w:pPr>
        <w:spacing w:line="253" w:lineRule="exact"/>
        <w:ind w:left="426" w:right="22"/>
        <w:jc w:val="center"/>
        <w:rPr>
          <w:rFonts w:ascii="Nirmala UI" w:hAnsi="Nirmala UI" w:cs="Nirmala UI"/>
          <w:b/>
          <w:color w:val="002060"/>
          <w:sz w:val="21"/>
        </w:rPr>
      </w:pPr>
      <w:r w:rsidRPr="00F31538">
        <w:rPr>
          <w:rFonts w:ascii="Nirmala UI" w:hAnsi="Nirmala UI" w:cs="Nirmala UI"/>
          <w:b/>
          <w:color w:val="002060"/>
          <w:spacing w:val="-2"/>
          <w:sz w:val="21"/>
        </w:rPr>
        <w:t>DICHIARA</w:t>
      </w:r>
    </w:p>
    <w:p w14:paraId="11183267" w14:textId="77777777" w:rsidR="006D58E6" w:rsidRPr="00F31538" w:rsidRDefault="006D58E6" w:rsidP="006D58E6">
      <w:pPr>
        <w:pStyle w:val="Corpotesto"/>
        <w:numPr>
          <w:ilvl w:val="0"/>
          <w:numId w:val="2"/>
        </w:numPr>
        <w:tabs>
          <w:tab w:val="left" w:pos="709"/>
        </w:tabs>
        <w:spacing w:before="240" w:line="276" w:lineRule="auto"/>
        <w:ind w:left="851" w:right="164"/>
        <w:jc w:val="both"/>
        <w:rPr>
          <w:rFonts w:ascii="Nirmala UI" w:hAnsi="Nirmala UI" w:cs="Nirmala UI"/>
          <w:color w:val="002060"/>
          <w:w w:val="105"/>
          <w:szCs w:val="22"/>
        </w:rPr>
      </w:pPr>
      <w:r w:rsidRPr="00F31538">
        <w:rPr>
          <w:rFonts w:ascii="Nirmala UI" w:hAnsi="Nirmala UI" w:cs="Nirmala UI"/>
          <w:color w:val="002060"/>
          <w:w w:val="105"/>
          <w:szCs w:val="22"/>
        </w:rPr>
        <w:t>di essere a conoscenza delle condizioni prescritte per l’avvio e per l’adesione e, in particolare:</w:t>
      </w:r>
    </w:p>
    <w:p w14:paraId="685254AF" w14:textId="77777777" w:rsidR="006D58E6" w:rsidRPr="00F31538" w:rsidRDefault="006D58E6" w:rsidP="006D58E6">
      <w:pPr>
        <w:pStyle w:val="Corpotesto"/>
        <w:numPr>
          <w:ilvl w:val="0"/>
          <w:numId w:val="4"/>
        </w:numPr>
        <w:tabs>
          <w:tab w:val="left" w:pos="709"/>
        </w:tabs>
        <w:spacing w:before="120" w:line="276" w:lineRule="auto"/>
        <w:ind w:left="1134" w:right="164"/>
        <w:jc w:val="both"/>
        <w:rPr>
          <w:rFonts w:ascii="Nirmala UI" w:hAnsi="Nirmala UI" w:cs="Nirmala UI"/>
          <w:color w:val="002060"/>
          <w:w w:val="105"/>
          <w:szCs w:val="22"/>
        </w:rPr>
      </w:pPr>
      <w:r w:rsidRPr="00F31538">
        <w:rPr>
          <w:rFonts w:ascii="Nirmala UI" w:hAnsi="Nirmala UI" w:cs="Nirmala UI"/>
          <w:color w:val="002060"/>
          <w:w w:val="105"/>
          <w:szCs w:val="22"/>
        </w:rPr>
        <w:t xml:space="preserve">il tentativo di conciliazione, pur non obbligatorio, </w:t>
      </w:r>
      <w:r w:rsidRPr="00F31538">
        <w:rPr>
          <w:rFonts w:ascii="Nirmala UI" w:hAnsi="Nirmala UI" w:cs="Nirmala UI"/>
          <w:b/>
          <w:bCs/>
          <w:color w:val="002060"/>
          <w:w w:val="105"/>
          <w:szCs w:val="22"/>
        </w:rPr>
        <w:t>sarà espletato gratuitamente per tutti, anche se non iscritti alla Federazione</w:t>
      </w:r>
      <w:r w:rsidRPr="00F31538">
        <w:rPr>
          <w:rFonts w:ascii="Nirmala UI" w:hAnsi="Nirmala UI" w:cs="Nirmala UI"/>
          <w:color w:val="002060"/>
          <w:w w:val="105"/>
          <w:szCs w:val="22"/>
        </w:rPr>
        <w:t>, aderenti all’iniziativa.</w:t>
      </w:r>
    </w:p>
    <w:p w14:paraId="6E5765C5" w14:textId="787F505C" w:rsidR="00A021CB" w:rsidRPr="00F31538" w:rsidRDefault="006D58E6" w:rsidP="006D58E6">
      <w:pPr>
        <w:pStyle w:val="Corpotesto"/>
        <w:numPr>
          <w:ilvl w:val="0"/>
          <w:numId w:val="4"/>
        </w:numPr>
        <w:tabs>
          <w:tab w:val="left" w:pos="709"/>
        </w:tabs>
        <w:spacing w:before="120" w:line="276" w:lineRule="auto"/>
        <w:ind w:left="1134" w:right="164"/>
        <w:jc w:val="both"/>
        <w:rPr>
          <w:rFonts w:ascii="Nirmala UI" w:hAnsi="Nirmala UI" w:cs="Nirmala UI"/>
          <w:color w:val="002060"/>
          <w:w w:val="105"/>
          <w:szCs w:val="22"/>
        </w:rPr>
      </w:pPr>
      <w:r w:rsidRPr="00F31538">
        <w:rPr>
          <w:rFonts w:ascii="Nirmala UI" w:hAnsi="Nirmala UI" w:cs="Nirmala UI"/>
          <w:color w:val="002060"/>
          <w:w w:val="105"/>
          <w:szCs w:val="22"/>
        </w:rPr>
        <w:t>tutte le comunicazioni relative all’iniziativa saranno inviate esclusivamente all’indirizzo di posta elettronica indicato nella presente scheda o al diverso indirizzo di posta elettronica che sarà successivamente comunicato.</w:t>
      </w:r>
    </w:p>
    <w:p w14:paraId="29E817AD" w14:textId="77777777" w:rsidR="00A021CB" w:rsidRPr="00F31538" w:rsidRDefault="00000000" w:rsidP="006D58E6">
      <w:pPr>
        <w:pStyle w:val="Paragrafoelenco"/>
        <w:numPr>
          <w:ilvl w:val="0"/>
          <w:numId w:val="2"/>
        </w:numPr>
        <w:tabs>
          <w:tab w:val="left" w:pos="709"/>
        </w:tabs>
        <w:spacing w:before="240" w:line="276" w:lineRule="auto"/>
        <w:ind w:left="851" w:right="164"/>
        <w:rPr>
          <w:rFonts w:ascii="Nirmala UI" w:hAnsi="Nirmala UI" w:cs="Nirmala UI"/>
          <w:color w:val="002060"/>
          <w:sz w:val="20"/>
        </w:rPr>
      </w:pPr>
      <w:r w:rsidRPr="00F31538">
        <w:rPr>
          <w:rFonts w:ascii="Nirmala UI" w:hAnsi="Nirmala UI" w:cs="Nirmala UI"/>
          <w:color w:val="002060"/>
          <w:w w:val="105"/>
          <w:sz w:val="20"/>
        </w:rPr>
        <w:t>ai</w:t>
      </w:r>
      <w:r w:rsidRPr="00F31538">
        <w:rPr>
          <w:rFonts w:ascii="Nirmala UI" w:hAnsi="Nirmala UI" w:cs="Nirmala UI"/>
          <w:color w:val="002060"/>
          <w:spacing w:val="-2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sensi</w:t>
      </w:r>
      <w:r w:rsidRPr="00F31538">
        <w:rPr>
          <w:rFonts w:ascii="Nirmala UI" w:hAnsi="Nirmala UI" w:cs="Nirmala UI"/>
          <w:color w:val="002060"/>
          <w:spacing w:val="-2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e</w:t>
      </w:r>
      <w:r w:rsidRPr="00F31538">
        <w:rPr>
          <w:rFonts w:ascii="Nirmala UI" w:hAnsi="Nirmala UI" w:cs="Nirmala UI"/>
          <w:color w:val="002060"/>
          <w:spacing w:val="-3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per</w:t>
      </w:r>
      <w:r w:rsidRPr="00F31538">
        <w:rPr>
          <w:rFonts w:ascii="Nirmala UI" w:hAnsi="Nirmala UI" w:cs="Nirmala UI"/>
          <w:color w:val="002060"/>
          <w:spacing w:val="-2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gli</w:t>
      </w:r>
      <w:r w:rsidRPr="00F31538">
        <w:rPr>
          <w:rFonts w:ascii="Nirmala UI" w:hAnsi="Nirmala UI" w:cs="Nirmala UI"/>
          <w:color w:val="002060"/>
          <w:spacing w:val="-2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effetti</w:t>
      </w:r>
      <w:r w:rsidRPr="00F31538">
        <w:rPr>
          <w:rFonts w:ascii="Nirmala UI" w:hAnsi="Nirmala UI" w:cs="Nirmala UI"/>
          <w:color w:val="002060"/>
          <w:spacing w:val="-2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degli</w:t>
      </w:r>
      <w:r w:rsidRPr="00F31538">
        <w:rPr>
          <w:rFonts w:ascii="Nirmala UI" w:hAnsi="Nirmala UI" w:cs="Nirmala UI"/>
          <w:color w:val="002060"/>
          <w:spacing w:val="-2"/>
          <w:w w:val="105"/>
          <w:sz w:val="20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  <w:sz w:val="20"/>
        </w:rPr>
        <w:t>artt. 76 e 75 del D.P.R. n. 445 del 28/12/2000, che le informazioni riportate nella presente scheda sono veritiere.</w:t>
      </w:r>
    </w:p>
    <w:p w14:paraId="3BFF92AA" w14:textId="77777777" w:rsidR="006D58E6" w:rsidRPr="00F31538" w:rsidRDefault="006D58E6" w:rsidP="007F6062">
      <w:pPr>
        <w:pStyle w:val="Corpotesto"/>
        <w:tabs>
          <w:tab w:val="left" w:pos="3445"/>
        </w:tabs>
        <w:ind w:left="190" w:right="22"/>
        <w:rPr>
          <w:rFonts w:ascii="Nirmala UI" w:hAnsi="Nirmala UI" w:cs="Nirmala UI"/>
          <w:color w:val="002060"/>
          <w:w w:val="105"/>
        </w:rPr>
      </w:pPr>
    </w:p>
    <w:p w14:paraId="47E10AE9" w14:textId="25B215EB" w:rsidR="00A021CB" w:rsidRPr="00F31538" w:rsidRDefault="00000000" w:rsidP="007F6062">
      <w:pPr>
        <w:pStyle w:val="Corpotesto"/>
        <w:tabs>
          <w:tab w:val="left" w:pos="3445"/>
        </w:tabs>
        <w:ind w:left="190" w:right="22"/>
        <w:rPr>
          <w:rFonts w:ascii="Nirmala UI" w:hAnsi="Nirmala UI" w:cs="Nirmala UI"/>
          <w:color w:val="002060"/>
        </w:rPr>
      </w:pPr>
      <w:r w:rsidRPr="00F31538">
        <w:rPr>
          <w:rFonts w:ascii="Nirmala UI" w:hAnsi="Nirmala UI" w:cs="Nirmala UI"/>
          <w:color w:val="002060"/>
          <w:w w:val="105"/>
        </w:rPr>
        <w:t>Luogo</w:t>
      </w:r>
      <w:r w:rsidRPr="00F31538">
        <w:rPr>
          <w:rFonts w:ascii="Nirmala UI" w:hAnsi="Nirmala UI" w:cs="Nirmala UI"/>
          <w:color w:val="002060"/>
          <w:spacing w:val="24"/>
          <w:w w:val="105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</w:rPr>
        <w:t>e</w:t>
      </w:r>
      <w:r w:rsidRPr="00F31538">
        <w:rPr>
          <w:rFonts w:ascii="Nirmala UI" w:hAnsi="Nirmala UI" w:cs="Nirmala UI"/>
          <w:color w:val="002060"/>
          <w:spacing w:val="22"/>
          <w:w w:val="105"/>
        </w:rPr>
        <w:t xml:space="preserve"> </w:t>
      </w:r>
      <w:r w:rsidRPr="00F31538">
        <w:rPr>
          <w:rFonts w:ascii="Nirmala UI" w:hAnsi="Nirmala UI" w:cs="Nirmala UI"/>
          <w:color w:val="002060"/>
          <w:w w:val="105"/>
        </w:rPr>
        <w:t>data,</w:t>
      </w:r>
      <w:r w:rsidRPr="00F31538">
        <w:rPr>
          <w:rFonts w:ascii="Nirmala UI" w:hAnsi="Nirmala UI" w:cs="Nirmala UI"/>
          <w:color w:val="002060"/>
          <w:spacing w:val="24"/>
          <w:w w:val="105"/>
        </w:rPr>
        <w:t xml:space="preserve"> </w:t>
      </w:r>
      <w:r w:rsidRPr="00F31538">
        <w:rPr>
          <w:rFonts w:ascii="Nirmala UI" w:hAnsi="Nirmala UI" w:cs="Nirmala UI"/>
          <w:color w:val="002060"/>
          <w:u w:val="single" w:color="1E477B"/>
        </w:rPr>
        <w:tab/>
      </w:r>
    </w:p>
    <w:p w14:paraId="1A29314D" w14:textId="3E6C0F46" w:rsidR="00A021CB" w:rsidRPr="00F31538" w:rsidRDefault="00000000" w:rsidP="006D58E6">
      <w:pPr>
        <w:pStyle w:val="Corpotesto"/>
        <w:ind w:right="22"/>
        <w:rPr>
          <w:rFonts w:ascii="Nirmala UI" w:hAnsi="Nirmala UI" w:cs="Nirmala UI"/>
          <w:color w:val="002060"/>
          <w:sz w:val="7"/>
        </w:rPr>
      </w:pPr>
      <w:r>
        <w:rPr>
          <w:rFonts w:ascii="Nirmala UI" w:hAnsi="Nirmala UI" w:cs="Nirmala UI"/>
          <w:color w:val="002060"/>
        </w:rPr>
        <w:pict w14:anchorId="1E2FE839">
          <v:shape id="docshape2" o:spid="_x0000_s1026" style="position:absolute;margin-left:361.4pt;margin-top:17.1pt;width:174.45pt;height:.1pt;z-index:-251657728;mso-wrap-distance-left:0;mso-wrap-distance-right:0;mso-position-horizontal-relative:page" coordorigin="7228,342" coordsize="3489,0" path="m7228,342r3489,e" filled="f" strokecolor="#1e477b" strokeweight=".20411mm">
            <v:path arrowok="t"/>
            <w10:wrap type="topAndBottom" anchorx="page"/>
          </v:shape>
        </w:pict>
      </w:r>
    </w:p>
    <w:p w14:paraId="39552666" w14:textId="5292BF67" w:rsidR="00A021CB" w:rsidRPr="00F31538" w:rsidRDefault="006D58E6">
      <w:pPr>
        <w:pStyle w:val="Corpotesto"/>
        <w:spacing w:before="64"/>
        <w:ind w:right="2053"/>
        <w:jc w:val="right"/>
        <w:rPr>
          <w:rFonts w:ascii="Nirmala UI" w:hAnsi="Nirmala UI" w:cs="Nirmala UI"/>
          <w:color w:val="002060"/>
        </w:rPr>
      </w:pPr>
      <w:r w:rsidRPr="00F31538">
        <w:rPr>
          <w:rFonts w:ascii="Nirmala UI" w:hAnsi="Nirmala UI" w:cs="Nirmala UI"/>
          <w:noProof/>
          <w:color w:val="002060"/>
        </w:rPr>
        <w:drawing>
          <wp:anchor distT="0" distB="0" distL="0" distR="0" simplePos="0" relativeHeight="251656704" behindDoc="1" locked="0" layoutInCell="1" allowOverlap="1" wp14:anchorId="2EEC9193" wp14:editId="40D502DA">
            <wp:simplePos x="0" y="0"/>
            <wp:positionH relativeFrom="page">
              <wp:posOffset>1028700</wp:posOffset>
            </wp:positionH>
            <wp:positionV relativeFrom="paragraph">
              <wp:posOffset>2520647</wp:posOffset>
            </wp:positionV>
            <wp:extent cx="5527886" cy="6950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886" cy="695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538">
        <w:rPr>
          <w:rFonts w:ascii="Nirmala UI" w:hAnsi="Nirmala UI" w:cs="Nirmala UI"/>
          <w:color w:val="002060"/>
          <w:spacing w:val="-2"/>
          <w:w w:val="105"/>
        </w:rPr>
        <w:t>(Firma)</w:t>
      </w:r>
    </w:p>
    <w:sectPr w:rsidR="00A021CB" w:rsidRPr="00F31538" w:rsidSect="003E20A7">
      <w:type w:val="continuous"/>
      <w:pgSz w:w="11910" w:h="16840"/>
      <w:pgMar w:top="142" w:right="7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D39"/>
    <w:multiLevelType w:val="hybridMultilevel"/>
    <w:tmpl w:val="C5B668D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5B7085"/>
    <w:multiLevelType w:val="hybridMultilevel"/>
    <w:tmpl w:val="B5DADC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EF1D88"/>
    <w:multiLevelType w:val="hybridMultilevel"/>
    <w:tmpl w:val="31ACEA64"/>
    <w:lvl w:ilvl="0" w:tplc="AE2E975C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487C"/>
        <w:w w:val="99"/>
        <w:sz w:val="20"/>
        <w:szCs w:val="20"/>
        <w:lang w:val="it-IT" w:eastAsia="en-US" w:bidi="ar-SA"/>
      </w:rPr>
    </w:lvl>
    <w:lvl w:ilvl="1" w:tplc="39AE36AA">
      <w:numFmt w:val="bullet"/>
      <w:lvlText w:val="-"/>
      <w:lvlJc w:val="left"/>
      <w:pPr>
        <w:ind w:left="757" w:hanging="356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1F487C"/>
        <w:w w:val="101"/>
        <w:sz w:val="20"/>
        <w:szCs w:val="20"/>
        <w:lang w:val="it-IT" w:eastAsia="en-US" w:bidi="ar-SA"/>
      </w:rPr>
    </w:lvl>
    <w:lvl w:ilvl="2" w:tplc="687E38D2">
      <w:numFmt w:val="bullet"/>
      <w:lvlText w:val="•"/>
      <w:lvlJc w:val="left"/>
      <w:pPr>
        <w:ind w:left="1827" w:hanging="356"/>
      </w:pPr>
      <w:rPr>
        <w:rFonts w:hint="default"/>
        <w:lang w:val="it-IT" w:eastAsia="en-US" w:bidi="ar-SA"/>
      </w:rPr>
    </w:lvl>
    <w:lvl w:ilvl="3" w:tplc="586468AE">
      <w:numFmt w:val="bullet"/>
      <w:lvlText w:val="•"/>
      <w:lvlJc w:val="left"/>
      <w:pPr>
        <w:ind w:left="2894" w:hanging="356"/>
      </w:pPr>
      <w:rPr>
        <w:rFonts w:hint="default"/>
        <w:lang w:val="it-IT" w:eastAsia="en-US" w:bidi="ar-SA"/>
      </w:rPr>
    </w:lvl>
    <w:lvl w:ilvl="4" w:tplc="7452E94E">
      <w:numFmt w:val="bullet"/>
      <w:lvlText w:val="•"/>
      <w:lvlJc w:val="left"/>
      <w:pPr>
        <w:ind w:left="3962" w:hanging="356"/>
      </w:pPr>
      <w:rPr>
        <w:rFonts w:hint="default"/>
        <w:lang w:val="it-IT" w:eastAsia="en-US" w:bidi="ar-SA"/>
      </w:rPr>
    </w:lvl>
    <w:lvl w:ilvl="5" w:tplc="F5E29B70">
      <w:numFmt w:val="bullet"/>
      <w:lvlText w:val="•"/>
      <w:lvlJc w:val="left"/>
      <w:pPr>
        <w:ind w:left="5029" w:hanging="356"/>
      </w:pPr>
      <w:rPr>
        <w:rFonts w:hint="default"/>
        <w:lang w:val="it-IT" w:eastAsia="en-US" w:bidi="ar-SA"/>
      </w:rPr>
    </w:lvl>
    <w:lvl w:ilvl="6" w:tplc="C35AF67E">
      <w:numFmt w:val="bullet"/>
      <w:lvlText w:val="•"/>
      <w:lvlJc w:val="left"/>
      <w:pPr>
        <w:ind w:left="6096" w:hanging="356"/>
      </w:pPr>
      <w:rPr>
        <w:rFonts w:hint="default"/>
        <w:lang w:val="it-IT" w:eastAsia="en-US" w:bidi="ar-SA"/>
      </w:rPr>
    </w:lvl>
    <w:lvl w:ilvl="7" w:tplc="E084AFD6">
      <w:numFmt w:val="bullet"/>
      <w:lvlText w:val="•"/>
      <w:lvlJc w:val="left"/>
      <w:pPr>
        <w:ind w:left="7164" w:hanging="356"/>
      </w:pPr>
      <w:rPr>
        <w:rFonts w:hint="default"/>
        <w:lang w:val="it-IT" w:eastAsia="en-US" w:bidi="ar-SA"/>
      </w:rPr>
    </w:lvl>
    <w:lvl w:ilvl="8" w:tplc="0F92D3A2">
      <w:numFmt w:val="bullet"/>
      <w:lvlText w:val="•"/>
      <w:lvlJc w:val="left"/>
      <w:pPr>
        <w:ind w:left="8231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4C96671B"/>
    <w:multiLevelType w:val="hybridMultilevel"/>
    <w:tmpl w:val="A508BD8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9974442">
    <w:abstractNumId w:val="2"/>
  </w:num>
  <w:num w:numId="2" w16cid:durableId="1816680200">
    <w:abstractNumId w:val="0"/>
  </w:num>
  <w:num w:numId="3" w16cid:durableId="719939137">
    <w:abstractNumId w:val="1"/>
  </w:num>
  <w:num w:numId="4" w16cid:durableId="97676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1CB"/>
    <w:rsid w:val="00155F22"/>
    <w:rsid w:val="003E20A7"/>
    <w:rsid w:val="006D58E6"/>
    <w:rsid w:val="007F6062"/>
    <w:rsid w:val="00A021CB"/>
    <w:rsid w:val="00BD0D07"/>
    <w:rsid w:val="00D35D29"/>
    <w:rsid w:val="00F31538"/>
    <w:rsid w:val="00F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F6A50"/>
  <w15:docId w15:val="{B9C74D60-5726-4648-BE6C-FA9408C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20"/>
    </w:pPr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7" w:hanging="356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Nirmala UI" w:eastAsia="Nirmala UI" w:hAnsi="Nirmala UI" w:cs="Nirmala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MGG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creator>Claudia</dc:creator>
  <cp:lastModifiedBy>Claudia Ratti</cp:lastModifiedBy>
  <cp:revision>5</cp:revision>
  <dcterms:created xsi:type="dcterms:W3CDTF">2023-10-19T17:00:00Z</dcterms:created>
  <dcterms:modified xsi:type="dcterms:W3CDTF">2023-10-26T11:00:00Z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D:20220617163301</vt:lpwstr>
  </property>
</Properties>
</file>